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76" w:lineRule="auto"/>
        <w:ind w:left="0" w:leftChars="0" w:right="0" w:rightChars="0" w:firstLine="0" w:firstLineChars="0"/>
        <w:jc w:val="both"/>
        <w:textAlignment w:val="auto"/>
        <w:outlineLvl w:val="0"/>
        <w:rPr>
          <w:rFonts w:hint="eastAsia" w:eastAsia="仿宋_GB2312"/>
          <w:b w:val="0"/>
          <w:color w:val="000000"/>
          <w:kern w:val="2"/>
          <w:sz w:val="28"/>
          <w:szCs w:val="28"/>
          <w:lang w:val="en-US" w:eastAsia="zh-CN" w:bidi="ar-SA"/>
        </w:rPr>
      </w:pPr>
      <w:bookmarkStart w:id="0" w:name="_Toc502845758"/>
      <w:r>
        <w:rPr>
          <w:rFonts w:hint="eastAsia" w:eastAsia="仿宋_GB2312"/>
          <w:b w:val="0"/>
          <w:color w:val="000000"/>
          <w:kern w:val="2"/>
          <w:sz w:val="28"/>
          <w:szCs w:val="28"/>
          <w:lang w:val="en-US" w:eastAsia="zh-CN" w:bidi="ar-SA"/>
        </w:rPr>
        <w:t>附件</w:t>
      </w:r>
      <w:r>
        <w:rPr>
          <w:rFonts w:hint="eastAsia" w:eastAsia="仿宋_GB2312"/>
          <w:b w:val="0"/>
          <w:color w:val="000000"/>
          <w:kern w:val="2"/>
          <w:sz w:val="28"/>
          <w:szCs w:val="28"/>
          <w:lang w:val="en-US" w:eastAsia="zh-CN" w:bidi="ar-SA"/>
        </w:rPr>
        <w:t>13：</w:t>
      </w:r>
    </w:p>
    <w:p>
      <w:pPr>
        <w:pStyle w:val="2"/>
        <w:spacing w:after="0"/>
        <w:rPr>
          <w:color w:val="000000"/>
          <w:szCs w:val="36"/>
        </w:rPr>
      </w:pPr>
      <w:r>
        <w:rPr>
          <w:color w:val="000000"/>
          <w:szCs w:val="36"/>
        </w:rPr>
        <w:t>常州工学院科研奖励办法（试行）</w:t>
      </w:r>
      <w:bookmarkEnd w:id="0"/>
    </w:p>
    <w:p>
      <w:pPr>
        <w:rPr>
          <w:rFonts w:hint="eastAsia"/>
        </w:rPr>
      </w:pPr>
    </w:p>
    <w:p>
      <w:pPr>
        <w:numPr>
          <w:ilvl w:val="0"/>
          <w:numId w:val="1"/>
        </w:numPr>
        <w:spacing w:line="480" w:lineRule="exact"/>
        <w:ind w:left="902" w:hanging="902"/>
        <w:jc w:val="center"/>
        <w:rPr>
          <w:rFonts w:ascii="黑体" w:hAnsi="黑体" w:eastAsia="黑体"/>
          <w:color w:val="000000"/>
          <w:sz w:val="28"/>
          <w:szCs w:val="28"/>
        </w:rPr>
      </w:pPr>
      <w:r>
        <w:rPr>
          <w:rFonts w:hint="eastAsia" w:ascii="黑体" w:hAnsi="黑体" w:eastAsia="黑体"/>
          <w:color w:val="000000"/>
          <w:sz w:val="28"/>
          <w:szCs w:val="28"/>
        </w:rPr>
        <w:t xml:space="preserve">  </w:t>
      </w:r>
      <w:r>
        <w:rPr>
          <w:rFonts w:ascii="黑体" w:hAnsi="黑体" w:eastAsia="黑体"/>
          <w:color w:val="000000"/>
          <w:sz w:val="28"/>
          <w:szCs w:val="28"/>
        </w:rPr>
        <w:t>总则</w:t>
      </w:r>
    </w:p>
    <w:p>
      <w:pPr>
        <w:spacing w:line="560" w:lineRule="exact"/>
        <w:ind w:firstLine="562" w:firstLineChars="200"/>
        <w:rPr>
          <w:rFonts w:eastAsia="仿宋_GB2312"/>
          <w:color w:val="000000"/>
          <w:sz w:val="28"/>
          <w:szCs w:val="28"/>
        </w:rPr>
      </w:pPr>
      <w:r>
        <w:rPr>
          <w:rFonts w:eastAsia="仿宋_GB2312"/>
          <w:b/>
          <w:color w:val="000000"/>
          <w:sz w:val="28"/>
          <w:szCs w:val="28"/>
        </w:rPr>
        <w:t>第一条</w:t>
      </w:r>
      <w:r>
        <w:rPr>
          <w:rFonts w:eastAsia="仿宋_GB2312"/>
          <w:color w:val="000000"/>
          <w:sz w:val="28"/>
          <w:szCs w:val="28"/>
        </w:rPr>
        <w:t xml:space="preserve">  为了激励我校教职工积极开展科学研究和技术创新，鼓励承接重大研究项目和获得重大科研成果，促进学校的学科建设，提高我校学术研究质量和科研整体水平，制定本</w:t>
      </w:r>
      <w:r>
        <w:rPr>
          <w:rFonts w:hint="eastAsia" w:eastAsia="仿宋_GB2312"/>
          <w:color w:val="000000"/>
          <w:sz w:val="28"/>
          <w:szCs w:val="28"/>
        </w:rPr>
        <w:t>奖励</w:t>
      </w:r>
      <w:r>
        <w:rPr>
          <w:rFonts w:eastAsia="仿宋_GB2312"/>
          <w:color w:val="000000"/>
          <w:sz w:val="28"/>
          <w:szCs w:val="28"/>
        </w:rPr>
        <w:t>办法。</w:t>
      </w:r>
    </w:p>
    <w:p>
      <w:pPr>
        <w:spacing w:line="560" w:lineRule="exact"/>
        <w:ind w:firstLine="562" w:firstLineChars="200"/>
        <w:rPr>
          <w:rFonts w:eastAsia="仿宋_GB2312"/>
          <w:color w:val="000000"/>
          <w:sz w:val="28"/>
          <w:szCs w:val="28"/>
        </w:rPr>
      </w:pPr>
      <w:r>
        <w:rPr>
          <w:rFonts w:eastAsia="仿宋_GB2312"/>
          <w:b/>
          <w:color w:val="000000"/>
          <w:sz w:val="28"/>
          <w:szCs w:val="28"/>
        </w:rPr>
        <w:t>第二条</w:t>
      </w:r>
      <w:r>
        <w:rPr>
          <w:rFonts w:hint="eastAsia" w:eastAsia="仿宋_GB2312"/>
          <w:color w:val="000000"/>
          <w:sz w:val="28"/>
          <w:szCs w:val="28"/>
        </w:rPr>
        <w:t xml:space="preserve">  </w:t>
      </w:r>
      <w:r>
        <w:rPr>
          <w:rFonts w:eastAsia="仿宋_GB2312"/>
          <w:color w:val="000000"/>
          <w:sz w:val="28"/>
          <w:szCs w:val="28"/>
        </w:rPr>
        <w:t>科研奖励范围包括</w:t>
      </w:r>
      <w:r>
        <w:rPr>
          <w:rFonts w:hint="eastAsia" w:eastAsia="仿宋_GB2312"/>
          <w:color w:val="000000"/>
          <w:sz w:val="28"/>
          <w:szCs w:val="28"/>
        </w:rPr>
        <w:t>科研基地奖励、纵向科研项目奖励、产学研合作项目（横向项目）奖励、学术论文奖励</w:t>
      </w:r>
      <w:r>
        <w:rPr>
          <w:rFonts w:eastAsia="仿宋_GB2312"/>
          <w:color w:val="000000"/>
          <w:sz w:val="28"/>
          <w:szCs w:val="28"/>
        </w:rPr>
        <w:t>、学术专著</w:t>
      </w:r>
      <w:r>
        <w:rPr>
          <w:rFonts w:hint="eastAsia" w:eastAsia="仿宋_GB2312"/>
          <w:color w:val="000000"/>
          <w:sz w:val="28"/>
          <w:szCs w:val="28"/>
        </w:rPr>
        <w:t>奖励、</w:t>
      </w:r>
      <w:r>
        <w:rPr>
          <w:rFonts w:eastAsia="仿宋_GB2312"/>
          <w:color w:val="000000"/>
          <w:sz w:val="28"/>
          <w:szCs w:val="28"/>
        </w:rPr>
        <w:t>专利奖励</w:t>
      </w:r>
      <w:r>
        <w:rPr>
          <w:rFonts w:hint="eastAsia" w:eastAsia="仿宋_GB2312"/>
          <w:color w:val="000000"/>
          <w:sz w:val="28"/>
          <w:szCs w:val="28"/>
        </w:rPr>
        <w:t>、</w:t>
      </w:r>
      <w:r>
        <w:rPr>
          <w:rFonts w:eastAsia="仿宋_GB2312"/>
          <w:color w:val="000000"/>
          <w:sz w:val="28"/>
          <w:szCs w:val="28"/>
        </w:rPr>
        <w:t>获奖科研成果奖励</w:t>
      </w:r>
      <w:r>
        <w:rPr>
          <w:rFonts w:hint="eastAsia" w:eastAsia="仿宋_GB2312"/>
          <w:color w:val="000000"/>
          <w:sz w:val="28"/>
          <w:szCs w:val="28"/>
        </w:rPr>
        <w:t>、艺术类成果奖励、技术标准奖励</w:t>
      </w:r>
      <w:r>
        <w:rPr>
          <w:rFonts w:eastAsia="仿宋_GB2312"/>
          <w:color w:val="000000"/>
          <w:sz w:val="28"/>
          <w:szCs w:val="28"/>
        </w:rPr>
        <w:t>等。</w:t>
      </w:r>
    </w:p>
    <w:p>
      <w:pPr>
        <w:spacing w:line="560" w:lineRule="exact"/>
        <w:ind w:firstLine="562" w:firstLineChars="200"/>
        <w:rPr>
          <w:rFonts w:eastAsia="仿宋_GB2312"/>
          <w:color w:val="000000"/>
          <w:sz w:val="28"/>
          <w:szCs w:val="28"/>
        </w:rPr>
      </w:pPr>
      <w:r>
        <w:rPr>
          <w:rFonts w:eastAsia="仿宋_GB2312"/>
          <w:b/>
          <w:color w:val="000000"/>
          <w:sz w:val="28"/>
          <w:szCs w:val="28"/>
        </w:rPr>
        <w:t>第三条</w:t>
      </w:r>
      <w:r>
        <w:rPr>
          <w:rFonts w:hint="eastAsia" w:eastAsia="仿宋_GB2312"/>
          <w:color w:val="000000"/>
          <w:sz w:val="28"/>
          <w:szCs w:val="28"/>
        </w:rPr>
        <w:t xml:space="preserve">  </w:t>
      </w:r>
      <w:r>
        <w:rPr>
          <w:rFonts w:eastAsia="仿宋_GB2312"/>
          <w:color w:val="000000"/>
          <w:sz w:val="28"/>
          <w:szCs w:val="28"/>
        </w:rPr>
        <w:t>科研奖励对象是我校在职教职工以及</w:t>
      </w:r>
      <w:r>
        <w:rPr>
          <w:rFonts w:hint="eastAsia" w:eastAsia="仿宋_GB2312"/>
          <w:color w:val="000000"/>
          <w:sz w:val="28"/>
          <w:szCs w:val="28"/>
        </w:rPr>
        <w:t>科研成果第一单位署名为常州工学院的</w:t>
      </w:r>
      <w:r>
        <w:rPr>
          <w:rFonts w:eastAsia="仿宋_GB2312"/>
          <w:color w:val="000000"/>
          <w:sz w:val="28"/>
          <w:szCs w:val="28"/>
        </w:rPr>
        <w:t>离退休人员。</w:t>
      </w:r>
    </w:p>
    <w:p>
      <w:pPr>
        <w:spacing w:line="560" w:lineRule="exact"/>
        <w:ind w:firstLine="562" w:firstLineChars="200"/>
        <w:rPr>
          <w:rFonts w:eastAsia="仿宋_GB2312"/>
          <w:color w:val="000000"/>
          <w:sz w:val="28"/>
          <w:szCs w:val="28"/>
        </w:rPr>
      </w:pPr>
      <w:r>
        <w:rPr>
          <w:rFonts w:eastAsia="仿宋_GB2312"/>
          <w:b/>
          <w:color w:val="000000"/>
          <w:sz w:val="28"/>
          <w:szCs w:val="28"/>
        </w:rPr>
        <w:t>第四条</w:t>
      </w:r>
      <w:r>
        <w:rPr>
          <w:rFonts w:hint="eastAsia" w:eastAsia="仿宋_GB2312"/>
          <w:color w:val="000000"/>
          <w:sz w:val="28"/>
          <w:szCs w:val="28"/>
        </w:rPr>
        <w:t xml:space="preserve">  </w:t>
      </w:r>
      <w:r>
        <w:rPr>
          <w:rFonts w:eastAsia="仿宋_GB2312"/>
          <w:color w:val="000000"/>
          <w:sz w:val="28"/>
          <w:szCs w:val="28"/>
        </w:rPr>
        <w:t>科研奖励每年实施一次</w:t>
      </w:r>
      <w:r>
        <w:rPr>
          <w:rFonts w:hint="eastAsia" w:eastAsia="仿宋_GB2312"/>
          <w:color w:val="000000"/>
          <w:sz w:val="28"/>
          <w:szCs w:val="28"/>
        </w:rPr>
        <w:t>，</w:t>
      </w:r>
      <w:r>
        <w:rPr>
          <w:rFonts w:eastAsia="仿宋_GB2312"/>
          <w:color w:val="000000"/>
          <w:sz w:val="28"/>
          <w:szCs w:val="28"/>
        </w:rPr>
        <w:t>奖励经费来源于</w:t>
      </w:r>
      <w:r>
        <w:rPr>
          <w:rFonts w:hint="eastAsia" w:eastAsia="仿宋_GB2312"/>
          <w:color w:val="000000"/>
          <w:sz w:val="28"/>
          <w:szCs w:val="28"/>
        </w:rPr>
        <w:t>学校的财政预算经费，在</w:t>
      </w:r>
      <w:r>
        <w:rPr>
          <w:rFonts w:eastAsia="仿宋_GB2312"/>
          <w:color w:val="000000"/>
          <w:sz w:val="28"/>
          <w:szCs w:val="28"/>
        </w:rPr>
        <w:t>学校全年的专项绩效额度</w:t>
      </w:r>
      <w:r>
        <w:rPr>
          <w:rFonts w:hint="eastAsia" w:eastAsia="仿宋_GB2312"/>
          <w:color w:val="000000"/>
          <w:sz w:val="28"/>
          <w:szCs w:val="28"/>
        </w:rPr>
        <w:t>范围</w:t>
      </w:r>
      <w:r>
        <w:rPr>
          <w:rFonts w:eastAsia="仿宋_GB2312"/>
          <w:color w:val="000000"/>
          <w:sz w:val="28"/>
          <w:szCs w:val="28"/>
        </w:rPr>
        <w:t>内统筹安排。</w:t>
      </w:r>
    </w:p>
    <w:p>
      <w:pPr>
        <w:spacing w:line="560" w:lineRule="exact"/>
        <w:jc w:val="center"/>
        <w:rPr>
          <w:rFonts w:ascii="黑体" w:hAnsi="黑体" w:eastAsia="黑体"/>
          <w:color w:val="000000"/>
          <w:sz w:val="28"/>
          <w:szCs w:val="28"/>
        </w:rPr>
      </w:pPr>
      <w:r>
        <w:rPr>
          <w:rFonts w:ascii="黑体" w:hAnsi="黑体" w:eastAsia="黑体"/>
          <w:color w:val="000000"/>
          <w:sz w:val="28"/>
          <w:szCs w:val="28"/>
        </w:rPr>
        <w:t>第二章  奖励范围和标准</w:t>
      </w:r>
    </w:p>
    <w:p>
      <w:pPr>
        <w:spacing w:line="560" w:lineRule="exact"/>
        <w:ind w:firstLine="562" w:firstLineChars="200"/>
        <w:rPr>
          <w:rFonts w:hint="eastAsia" w:ascii="仿宋_GB2312" w:hAnsi="仿宋" w:eastAsia="仿宋_GB2312"/>
          <w:color w:val="000000"/>
          <w:sz w:val="28"/>
          <w:szCs w:val="28"/>
        </w:rPr>
      </w:pPr>
      <w:r>
        <w:rPr>
          <w:rFonts w:hint="eastAsia" w:ascii="仿宋_GB2312" w:hAnsi="仿宋" w:eastAsia="仿宋_GB2312"/>
          <w:b/>
          <w:color w:val="000000"/>
          <w:sz w:val="28"/>
          <w:szCs w:val="28"/>
        </w:rPr>
        <w:t>第五条</w:t>
      </w:r>
      <w:r>
        <w:rPr>
          <w:rFonts w:hint="eastAsia" w:ascii="仿宋_GB2312" w:hAnsi="仿宋" w:eastAsia="仿宋_GB2312"/>
          <w:color w:val="000000"/>
          <w:sz w:val="28"/>
          <w:szCs w:val="28"/>
        </w:rPr>
        <w:t xml:space="preserve">  科研基地建设（含基地建设类项目）奖是指对我校作为立项建设的第一承担单位，获得市厅级以上科研基地建设项目所实施的奖励，奖励范围和标准如下：</w:t>
      </w:r>
    </w:p>
    <w:tbl>
      <w:tblPr>
        <w:tblStyle w:val="5"/>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2"/>
        <w:gridCol w:w="13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812" w:type="dxa"/>
            <w:vMerge w:val="restart"/>
            <w:vAlign w:val="center"/>
          </w:tcPr>
          <w:p>
            <w:pPr>
              <w:tabs>
                <w:tab w:val="left" w:pos="720"/>
              </w:tabs>
              <w:spacing w:line="360" w:lineRule="exact"/>
              <w:jc w:val="center"/>
              <w:rPr>
                <w:color w:val="000000"/>
                <w:szCs w:val="21"/>
              </w:rPr>
            </w:pPr>
            <w:r>
              <w:rPr>
                <w:rFonts w:hint="eastAsia"/>
                <w:color w:val="000000"/>
                <w:szCs w:val="21"/>
              </w:rPr>
              <w:t>基 地 类 别</w:t>
            </w:r>
          </w:p>
        </w:tc>
        <w:tc>
          <w:tcPr>
            <w:tcW w:w="3002" w:type="dxa"/>
            <w:gridSpan w:val="2"/>
            <w:vAlign w:val="top"/>
          </w:tcPr>
          <w:p>
            <w:pPr>
              <w:tabs>
                <w:tab w:val="left" w:pos="720"/>
              </w:tabs>
              <w:spacing w:line="360" w:lineRule="exact"/>
              <w:jc w:val="center"/>
              <w:rPr>
                <w:color w:val="000000"/>
                <w:szCs w:val="21"/>
              </w:rPr>
            </w:pPr>
            <w:r>
              <w:rPr>
                <w:color w:val="000000"/>
                <w:szCs w:val="21"/>
              </w:rPr>
              <w:t>奖励金额（万元/个）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4812" w:type="dxa"/>
            <w:vMerge w:val="continue"/>
            <w:vAlign w:val="center"/>
          </w:tcPr>
          <w:p>
            <w:pPr>
              <w:tabs>
                <w:tab w:val="left" w:pos="1125"/>
              </w:tabs>
              <w:spacing w:line="360" w:lineRule="exact"/>
              <w:jc w:val="center"/>
              <w:rPr>
                <w:color w:val="000000"/>
                <w:szCs w:val="21"/>
              </w:rPr>
            </w:pPr>
          </w:p>
        </w:tc>
        <w:tc>
          <w:tcPr>
            <w:tcW w:w="1301" w:type="dxa"/>
            <w:vAlign w:val="center"/>
          </w:tcPr>
          <w:p>
            <w:pPr>
              <w:tabs>
                <w:tab w:val="left" w:pos="1125"/>
              </w:tabs>
              <w:spacing w:line="360" w:lineRule="exact"/>
              <w:jc w:val="center"/>
              <w:rPr>
                <w:color w:val="000000"/>
                <w:szCs w:val="21"/>
              </w:rPr>
            </w:pPr>
            <w:r>
              <w:rPr>
                <w:color w:val="000000"/>
                <w:szCs w:val="21"/>
              </w:rPr>
              <w:t>项目立项</w:t>
            </w:r>
          </w:p>
        </w:tc>
        <w:tc>
          <w:tcPr>
            <w:tcW w:w="1701" w:type="dxa"/>
            <w:vAlign w:val="center"/>
          </w:tcPr>
          <w:p>
            <w:pPr>
              <w:tabs>
                <w:tab w:val="left" w:pos="1125"/>
              </w:tabs>
              <w:spacing w:line="360" w:lineRule="exact"/>
              <w:jc w:val="center"/>
              <w:rPr>
                <w:color w:val="000000"/>
                <w:szCs w:val="21"/>
              </w:rPr>
            </w:pPr>
            <w:r>
              <w:rPr>
                <w:color w:val="000000"/>
                <w:szCs w:val="21"/>
              </w:rPr>
              <w:t>项目通过验收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4812" w:type="dxa"/>
            <w:vAlign w:val="center"/>
          </w:tcPr>
          <w:p>
            <w:pPr>
              <w:tabs>
                <w:tab w:val="left" w:pos="1125"/>
              </w:tabs>
              <w:spacing w:line="320" w:lineRule="exact"/>
              <w:jc w:val="left"/>
              <w:rPr>
                <w:rFonts w:hint="eastAsia"/>
                <w:bCs/>
                <w:color w:val="000000"/>
                <w:szCs w:val="21"/>
              </w:rPr>
            </w:pPr>
            <w:r>
              <w:rPr>
                <w:bCs/>
                <w:color w:val="000000"/>
                <w:szCs w:val="21"/>
              </w:rPr>
              <w:t>国家级科研基地</w:t>
            </w:r>
          </w:p>
        </w:tc>
        <w:tc>
          <w:tcPr>
            <w:tcW w:w="1301" w:type="dxa"/>
            <w:vAlign w:val="center"/>
          </w:tcPr>
          <w:p>
            <w:pPr>
              <w:tabs>
                <w:tab w:val="left" w:pos="1125"/>
              </w:tabs>
              <w:spacing w:line="320" w:lineRule="exact"/>
              <w:jc w:val="center"/>
              <w:rPr>
                <w:rFonts w:hint="eastAsia"/>
                <w:bCs/>
                <w:color w:val="000000"/>
                <w:szCs w:val="21"/>
              </w:rPr>
            </w:pPr>
            <w:r>
              <w:rPr>
                <w:rFonts w:hint="eastAsia"/>
                <w:bCs/>
                <w:color w:val="000000"/>
                <w:szCs w:val="21"/>
              </w:rPr>
              <w:t>15</w:t>
            </w:r>
          </w:p>
        </w:tc>
        <w:tc>
          <w:tcPr>
            <w:tcW w:w="1701" w:type="dxa"/>
            <w:vAlign w:val="center"/>
          </w:tcPr>
          <w:p>
            <w:pPr>
              <w:tabs>
                <w:tab w:val="left" w:pos="1125"/>
              </w:tabs>
              <w:spacing w:line="320" w:lineRule="exact"/>
              <w:jc w:val="center"/>
              <w:rPr>
                <w:rFonts w:hint="eastAsia"/>
                <w:bCs/>
                <w:color w:val="000000"/>
                <w:szCs w:val="21"/>
              </w:rPr>
            </w:pPr>
            <w:r>
              <w:rPr>
                <w:rFonts w:hint="eastAsia"/>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4812" w:type="dxa"/>
            <w:vAlign w:val="center"/>
          </w:tcPr>
          <w:p>
            <w:pPr>
              <w:tabs>
                <w:tab w:val="left" w:pos="1125"/>
              </w:tabs>
              <w:spacing w:line="320" w:lineRule="exact"/>
              <w:jc w:val="left"/>
              <w:rPr>
                <w:bCs/>
                <w:color w:val="000000"/>
                <w:szCs w:val="21"/>
              </w:rPr>
            </w:pPr>
            <w:r>
              <w:rPr>
                <w:rFonts w:hint="eastAsia"/>
                <w:bCs/>
                <w:color w:val="000000"/>
                <w:szCs w:val="21"/>
              </w:rPr>
              <w:t>省优势学科，</w:t>
            </w:r>
            <w:r>
              <w:rPr>
                <w:bCs/>
                <w:color w:val="000000"/>
                <w:szCs w:val="21"/>
              </w:rPr>
              <w:t>省（部）级重大研发机构（研究院）</w:t>
            </w:r>
          </w:p>
        </w:tc>
        <w:tc>
          <w:tcPr>
            <w:tcW w:w="1301" w:type="dxa"/>
            <w:vAlign w:val="center"/>
          </w:tcPr>
          <w:p>
            <w:pPr>
              <w:tabs>
                <w:tab w:val="left" w:pos="1125"/>
              </w:tabs>
              <w:spacing w:line="320" w:lineRule="exact"/>
              <w:jc w:val="center"/>
              <w:rPr>
                <w:rFonts w:hint="eastAsia"/>
                <w:bCs/>
                <w:color w:val="000000"/>
                <w:szCs w:val="21"/>
              </w:rPr>
            </w:pPr>
            <w:r>
              <w:rPr>
                <w:rFonts w:hint="eastAsia"/>
                <w:bCs/>
                <w:color w:val="000000"/>
                <w:szCs w:val="21"/>
              </w:rPr>
              <w:t>10</w:t>
            </w:r>
          </w:p>
        </w:tc>
        <w:tc>
          <w:tcPr>
            <w:tcW w:w="1701" w:type="dxa"/>
            <w:vAlign w:val="center"/>
          </w:tcPr>
          <w:p>
            <w:pPr>
              <w:tabs>
                <w:tab w:val="left" w:pos="1125"/>
              </w:tabs>
              <w:spacing w:line="320" w:lineRule="exact"/>
              <w:jc w:val="center"/>
              <w:rPr>
                <w:rFonts w:hint="eastAsia"/>
                <w:bCs/>
                <w:color w:val="000000"/>
                <w:szCs w:val="21"/>
              </w:rPr>
            </w:pPr>
            <w:r>
              <w:rPr>
                <w:rFonts w:hint="eastAsia"/>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4812" w:type="dxa"/>
            <w:vAlign w:val="center"/>
          </w:tcPr>
          <w:p>
            <w:pPr>
              <w:tabs>
                <w:tab w:val="left" w:pos="1125"/>
              </w:tabs>
              <w:spacing w:line="320" w:lineRule="exact"/>
              <w:jc w:val="left"/>
              <w:rPr>
                <w:bCs/>
                <w:color w:val="000000"/>
                <w:szCs w:val="21"/>
              </w:rPr>
            </w:pPr>
            <w:r>
              <w:rPr>
                <w:rFonts w:hint="eastAsia"/>
                <w:bCs/>
                <w:color w:val="000000"/>
                <w:szCs w:val="21"/>
              </w:rPr>
              <w:t>省级协同创新中心，省重点学科、</w:t>
            </w:r>
            <w:r>
              <w:rPr>
                <w:bCs/>
                <w:color w:val="000000"/>
                <w:szCs w:val="21"/>
              </w:rPr>
              <w:t>省（部）级重点实验室</w:t>
            </w:r>
          </w:p>
        </w:tc>
        <w:tc>
          <w:tcPr>
            <w:tcW w:w="1301" w:type="dxa"/>
            <w:vAlign w:val="center"/>
          </w:tcPr>
          <w:p>
            <w:pPr>
              <w:tabs>
                <w:tab w:val="left" w:pos="1125"/>
              </w:tabs>
              <w:spacing w:line="320" w:lineRule="exact"/>
              <w:jc w:val="center"/>
              <w:rPr>
                <w:rFonts w:hint="eastAsia"/>
                <w:bCs/>
                <w:color w:val="000000"/>
                <w:szCs w:val="21"/>
              </w:rPr>
            </w:pPr>
            <w:r>
              <w:rPr>
                <w:rFonts w:hint="eastAsia"/>
                <w:bCs/>
                <w:color w:val="000000"/>
                <w:szCs w:val="21"/>
              </w:rPr>
              <w:t>5</w:t>
            </w:r>
          </w:p>
        </w:tc>
        <w:tc>
          <w:tcPr>
            <w:tcW w:w="1701" w:type="dxa"/>
            <w:vAlign w:val="center"/>
          </w:tcPr>
          <w:p>
            <w:pPr>
              <w:tabs>
                <w:tab w:val="left" w:pos="1125"/>
              </w:tabs>
              <w:spacing w:line="320" w:lineRule="exact"/>
              <w:jc w:val="center"/>
              <w:rPr>
                <w:rFonts w:hint="eastAsia"/>
                <w:bCs/>
                <w:color w:val="000000"/>
                <w:szCs w:val="21"/>
              </w:rPr>
            </w:pPr>
            <w:r>
              <w:rPr>
                <w:rFonts w:hint="eastAsia"/>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4812" w:type="dxa"/>
            <w:vAlign w:val="center"/>
          </w:tcPr>
          <w:p>
            <w:pPr>
              <w:tabs>
                <w:tab w:val="left" w:pos="1125"/>
              </w:tabs>
              <w:spacing w:line="320" w:lineRule="exact"/>
              <w:jc w:val="left"/>
              <w:rPr>
                <w:bCs/>
                <w:color w:val="000000"/>
                <w:szCs w:val="21"/>
              </w:rPr>
            </w:pPr>
            <w:r>
              <w:rPr>
                <w:rFonts w:hint="eastAsia"/>
                <w:bCs/>
                <w:color w:val="000000"/>
                <w:szCs w:val="21"/>
              </w:rPr>
              <w:t>省重点建设学科，</w:t>
            </w:r>
            <w:r>
              <w:rPr>
                <w:bCs/>
                <w:color w:val="000000"/>
                <w:szCs w:val="21"/>
              </w:rPr>
              <w:t>省（部）级重点建设实验室</w:t>
            </w:r>
            <w:r>
              <w:rPr>
                <w:rFonts w:hint="eastAsia"/>
                <w:bCs/>
                <w:color w:val="000000"/>
                <w:szCs w:val="21"/>
              </w:rPr>
              <w:t>，</w:t>
            </w:r>
            <w:r>
              <w:rPr>
                <w:bCs/>
                <w:color w:val="000000"/>
                <w:szCs w:val="21"/>
              </w:rPr>
              <w:t>省（部）级</w:t>
            </w:r>
            <w:r>
              <w:rPr>
                <w:rFonts w:hint="eastAsia"/>
                <w:bCs/>
                <w:color w:val="000000"/>
                <w:szCs w:val="21"/>
              </w:rPr>
              <w:t>社科基地、</w:t>
            </w:r>
            <w:r>
              <w:rPr>
                <w:bCs/>
                <w:color w:val="000000"/>
                <w:szCs w:val="21"/>
              </w:rPr>
              <w:t>省</w:t>
            </w:r>
            <w:r>
              <w:rPr>
                <w:rFonts w:hint="eastAsia"/>
                <w:bCs/>
                <w:color w:val="000000"/>
                <w:szCs w:val="21"/>
              </w:rPr>
              <w:t>高校</w:t>
            </w:r>
            <w:r>
              <w:rPr>
                <w:bCs/>
                <w:color w:val="000000"/>
                <w:szCs w:val="21"/>
              </w:rPr>
              <w:t>重点</w:t>
            </w:r>
            <w:r>
              <w:rPr>
                <w:rFonts w:hint="eastAsia"/>
                <w:bCs/>
                <w:color w:val="000000"/>
                <w:szCs w:val="21"/>
              </w:rPr>
              <w:t>（建设）</w:t>
            </w:r>
            <w:r>
              <w:rPr>
                <w:bCs/>
                <w:color w:val="000000"/>
                <w:szCs w:val="21"/>
              </w:rPr>
              <w:t>实验室</w:t>
            </w:r>
          </w:p>
        </w:tc>
        <w:tc>
          <w:tcPr>
            <w:tcW w:w="1301" w:type="dxa"/>
            <w:vAlign w:val="center"/>
          </w:tcPr>
          <w:p>
            <w:pPr>
              <w:tabs>
                <w:tab w:val="left" w:pos="1125"/>
              </w:tabs>
              <w:spacing w:line="320" w:lineRule="exact"/>
              <w:jc w:val="center"/>
              <w:rPr>
                <w:rFonts w:hint="eastAsia"/>
                <w:bCs/>
                <w:color w:val="000000"/>
                <w:szCs w:val="21"/>
              </w:rPr>
            </w:pPr>
            <w:r>
              <w:rPr>
                <w:rFonts w:hint="eastAsia"/>
                <w:bCs/>
                <w:color w:val="000000"/>
                <w:szCs w:val="21"/>
              </w:rPr>
              <w:t>3</w:t>
            </w:r>
          </w:p>
        </w:tc>
        <w:tc>
          <w:tcPr>
            <w:tcW w:w="1701" w:type="dxa"/>
            <w:vAlign w:val="center"/>
          </w:tcPr>
          <w:p>
            <w:pPr>
              <w:tabs>
                <w:tab w:val="left" w:pos="1125"/>
              </w:tabs>
              <w:spacing w:line="320" w:lineRule="exact"/>
              <w:jc w:val="center"/>
              <w:rPr>
                <w:rFonts w:hint="eastAsia"/>
                <w:bCs/>
                <w:color w:val="000000"/>
                <w:szCs w:val="21"/>
              </w:rPr>
            </w:pPr>
            <w:r>
              <w:rPr>
                <w:rFonts w:hint="eastAsia"/>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4812" w:type="dxa"/>
            <w:vAlign w:val="center"/>
          </w:tcPr>
          <w:p>
            <w:pPr>
              <w:tabs>
                <w:tab w:val="left" w:pos="1125"/>
              </w:tabs>
              <w:spacing w:line="320" w:lineRule="exact"/>
              <w:jc w:val="left"/>
              <w:rPr>
                <w:rFonts w:hint="eastAsia"/>
                <w:bCs/>
                <w:color w:val="000000"/>
                <w:szCs w:val="21"/>
              </w:rPr>
            </w:pPr>
            <w:r>
              <w:rPr>
                <w:rFonts w:hint="eastAsia"/>
                <w:bCs/>
                <w:color w:val="000000"/>
                <w:szCs w:val="21"/>
              </w:rPr>
              <w:t>市级重点实验室，市厅级社科基地</w:t>
            </w:r>
          </w:p>
        </w:tc>
        <w:tc>
          <w:tcPr>
            <w:tcW w:w="1301" w:type="dxa"/>
            <w:vAlign w:val="center"/>
          </w:tcPr>
          <w:p>
            <w:pPr>
              <w:tabs>
                <w:tab w:val="left" w:pos="1125"/>
              </w:tabs>
              <w:spacing w:line="320" w:lineRule="exact"/>
              <w:jc w:val="center"/>
              <w:rPr>
                <w:rFonts w:hint="eastAsia"/>
                <w:bCs/>
                <w:color w:val="000000"/>
                <w:szCs w:val="21"/>
              </w:rPr>
            </w:pPr>
            <w:r>
              <w:rPr>
                <w:rFonts w:hint="eastAsia"/>
                <w:bCs/>
                <w:color w:val="000000"/>
                <w:szCs w:val="21"/>
              </w:rPr>
              <w:t>1</w:t>
            </w:r>
          </w:p>
        </w:tc>
        <w:tc>
          <w:tcPr>
            <w:tcW w:w="1701" w:type="dxa"/>
            <w:vAlign w:val="center"/>
          </w:tcPr>
          <w:p>
            <w:pPr>
              <w:tabs>
                <w:tab w:val="left" w:pos="1125"/>
              </w:tabs>
              <w:spacing w:line="320" w:lineRule="exact"/>
              <w:jc w:val="center"/>
              <w:rPr>
                <w:rFonts w:hint="eastAsia"/>
                <w:bCs/>
                <w:color w:val="000000"/>
                <w:szCs w:val="21"/>
              </w:rPr>
            </w:pPr>
            <w:r>
              <w:rPr>
                <w:rFonts w:hint="eastAsia"/>
                <w:bCs/>
                <w:color w:val="000000"/>
                <w:szCs w:val="21"/>
              </w:rPr>
              <w:t>1</w:t>
            </w:r>
          </w:p>
        </w:tc>
      </w:tr>
    </w:tbl>
    <w:p>
      <w:pPr>
        <w:spacing w:line="560" w:lineRule="exact"/>
        <w:ind w:firstLine="562" w:firstLineChars="200"/>
        <w:rPr>
          <w:rFonts w:hint="eastAsia" w:ascii="仿宋_GB2312" w:hAnsi="仿宋" w:eastAsia="仿宋_GB2312"/>
          <w:color w:val="000000"/>
          <w:sz w:val="28"/>
          <w:szCs w:val="28"/>
        </w:rPr>
      </w:pPr>
      <w:r>
        <w:rPr>
          <w:rFonts w:hint="eastAsia" w:ascii="仿宋_GB2312" w:hAnsi="仿宋" w:eastAsia="仿宋_GB2312"/>
          <w:b/>
          <w:color w:val="000000"/>
          <w:sz w:val="28"/>
          <w:szCs w:val="28"/>
        </w:rPr>
        <w:t>第六条</w:t>
      </w:r>
      <w:r>
        <w:rPr>
          <w:rFonts w:hint="eastAsia" w:ascii="仿宋_GB2312" w:hAnsi="仿宋" w:eastAsia="仿宋_GB2312"/>
          <w:color w:val="000000"/>
          <w:sz w:val="28"/>
          <w:szCs w:val="28"/>
        </w:rPr>
        <w:t xml:space="preserve">  纵向科研项目奖励（立项奖励和结题奖励）是对我校作为项目立项及结题的承担单位、获得市厅级以上科研项目（指导性项目与自筹经费项目除外）课题组实施的奖励。</w:t>
      </w:r>
    </w:p>
    <w:p>
      <w:pPr>
        <w:spacing w:line="56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奖励范围和标准如下：</w:t>
      </w:r>
    </w:p>
    <w:tbl>
      <w:tblPr>
        <w:tblStyle w:val="5"/>
        <w:tblW w:w="7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549"/>
        <w:gridCol w:w="902"/>
        <w:gridCol w:w="94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3649" w:type="dxa"/>
            <w:gridSpan w:val="2"/>
            <w:vMerge w:val="restart"/>
            <w:vAlign w:val="center"/>
          </w:tcPr>
          <w:p>
            <w:pPr>
              <w:tabs>
                <w:tab w:val="left" w:pos="720"/>
              </w:tabs>
              <w:spacing w:line="340" w:lineRule="exact"/>
              <w:jc w:val="center"/>
              <w:rPr>
                <w:color w:val="000000"/>
                <w:szCs w:val="21"/>
              </w:rPr>
            </w:pPr>
            <w:r>
              <w:rPr>
                <w:rFonts w:hAnsi="宋体"/>
                <w:color w:val="000000"/>
                <w:szCs w:val="21"/>
              </w:rPr>
              <w:t>纵向项目类别</w:t>
            </w:r>
          </w:p>
        </w:tc>
        <w:tc>
          <w:tcPr>
            <w:tcW w:w="3834" w:type="dxa"/>
            <w:gridSpan w:val="3"/>
            <w:vAlign w:val="center"/>
          </w:tcPr>
          <w:p>
            <w:pPr>
              <w:tabs>
                <w:tab w:val="left" w:pos="720"/>
              </w:tabs>
              <w:spacing w:line="340" w:lineRule="exact"/>
              <w:jc w:val="center"/>
              <w:rPr>
                <w:color w:val="000000"/>
                <w:szCs w:val="21"/>
              </w:rPr>
            </w:pPr>
            <w:r>
              <w:rPr>
                <w:rFonts w:hAnsi="宋体"/>
                <w:color w:val="000000"/>
                <w:szCs w:val="21"/>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3649" w:type="dxa"/>
            <w:gridSpan w:val="2"/>
            <w:vMerge w:val="continue"/>
            <w:vAlign w:val="center"/>
          </w:tcPr>
          <w:p>
            <w:pPr>
              <w:tabs>
                <w:tab w:val="left" w:pos="720"/>
              </w:tabs>
              <w:spacing w:line="340" w:lineRule="exact"/>
              <w:jc w:val="center"/>
              <w:rPr>
                <w:color w:val="000000"/>
                <w:szCs w:val="21"/>
              </w:rPr>
            </w:pPr>
          </w:p>
        </w:tc>
        <w:tc>
          <w:tcPr>
            <w:tcW w:w="902" w:type="dxa"/>
            <w:vAlign w:val="center"/>
          </w:tcPr>
          <w:p>
            <w:pPr>
              <w:tabs>
                <w:tab w:val="left" w:pos="720"/>
              </w:tabs>
              <w:spacing w:line="340" w:lineRule="exact"/>
              <w:jc w:val="center"/>
              <w:rPr>
                <w:color w:val="000000"/>
                <w:szCs w:val="21"/>
              </w:rPr>
            </w:pPr>
            <w:r>
              <w:rPr>
                <w:rFonts w:hint="eastAsia" w:hAnsi="宋体"/>
                <w:color w:val="000000"/>
                <w:szCs w:val="21"/>
              </w:rPr>
              <w:t>立项</w:t>
            </w:r>
            <w:r>
              <w:rPr>
                <w:rFonts w:hAnsi="宋体"/>
                <w:color w:val="000000"/>
                <w:szCs w:val="21"/>
              </w:rPr>
              <w:t>奖</w:t>
            </w:r>
          </w:p>
        </w:tc>
        <w:tc>
          <w:tcPr>
            <w:tcW w:w="945" w:type="dxa"/>
            <w:vAlign w:val="center"/>
          </w:tcPr>
          <w:p>
            <w:pPr>
              <w:tabs>
                <w:tab w:val="left" w:pos="720"/>
              </w:tabs>
              <w:spacing w:line="340" w:lineRule="exact"/>
              <w:jc w:val="center"/>
              <w:rPr>
                <w:color w:val="000000"/>
                <w:szCs w:val="21"/>
              </w:rPr>
            </w:pPr>
            <w:r>
              <w:rPr>
                <w:color w:val="000000"/>
                <w:szCs w:val="21"/>
              </w:rPr>
              <w:t>结题奖</w:t>
            </w:r>
          </w:p>
        </w:tc>
        <w:tc>
          <w:tcPr>
            <w:tcW w:w="1987" w:type="dxa"/>
            <w:vAlign w:val="center"/>
          </w:tcPr>
          <w:p>
            <w:pPr>
              <w:tabs>
                <w:tab w:val="left" w:pos="720"/>
              </w:tabs>
              <w:spacing w:line="340" w:lineRule="exact"/>
              <w:jc w:val="center"/>
              <w:rPr>
                <w:color w:val="000000"/>
                <w:szCs w:val="21"/>
              </w:rPr>
            </w:pPr>
            <w:r>
              <w:rPr>
                <w:rFonts w:hAnsi="宋体"/>
                <w:color w:val="000000"/>
                <w:szCs w:val="21"/>
              </w:rPr>
              <w:t>到账经费奖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00" w:type="dxa"/>
            <w:vMerge w:val="restart"/>
            <w:vAlign w:val="center"/>
          </w:tcPr>
          <w:p>
            <w:pPr>
              <w:tabs>
                <w:tab w:val="left" w:pos="1125"/>
              </w:tabs>
              <w:spacing w:line="320" w:lineRule="exact"/>
              <w:jc w:val="center"/>
              <w:rPr>
                <w:bCs/>
                <w:color w:val="000000"/>
                <w:szCs w:val="21"/>
              </w:rPr>
            </w:pPr>
            <w:r>
              <w:rPr>
                <w:rFonts w:hAnsi="宋体"/>
                <w:bCs/>
                <w:color w:val="000000"/>
                <w:szCs w:val="21"/>
              </w:rPr>
              <w:t>国家级</w:t>
            </w:r>
          </w:p>
        </w:tc>
        <w:tc>
          <w:tcPr>
            <w:tcW w:w="2549" w:type="dxa"/>
            <w:vAlign w:val="center"/>
          </w:tcPr>
          <w:p>
            <w:pPr>
              <w:tabs>
                <w:tab w:val="left" w:pos="1125"/>
              </w:tabs>
              <w:spacing w:line="320" w:lineRule="exact"/>
              <w:rPr>
                <w:bCs/>
                <w:color w:val="000000"/>
                <w:szCs w:val="21"/>
              </w:rPr>
            </w:pPr>
            <w:r>
              <w:rPr>
                <w:rFonts w:hAnsi="宋体"/>
                <w:bCs/>
                <w:color w:val="000000"/>
                <w:szCs w:val="21"/>
              </w:rPr>
              <w:t>国家级重大项目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30</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30</w:t>
            </w:r>
          </w:p>
        </w:tc>
        <w:tc>
          <w:tcPr>
            <w:tcW w:w="1987" w:type="dxa"/>
            <w:vMerge w:val="restart"/>
            <w:vAlign w:val="center"/>
          </w:tcPr>
          <w:p>
            <w:pPr>
              <w:tabs>
                <w:tab w:val="left" w:pos="1125"/>
              </w:tabs>
              <w:spacing w:line="320" w:lineRule="exact"/>
              <w:jc w:val="center"/>
              <w:rPr>
                <w:bCs/>
                <w:color w:val="000000"/>
                <w:szCs w:val="21"/>
              </w:rPr>
            </w:pPr>
            <w:r>
              <w:rPr>
                <w:rFonts w:hint="eastAsia"/>
                <w:bCs/>
                <w:color w:val="000000"/>
                <w:szCs w:val="21"/>
              </w:rPr>
              <w:t>当年</w:t>
            </w:r>
            <w:r>
              <w:rPr>
                <w:bCs/>
                <w:color w:val="000000"/>
                <w:szCs w:val="21"/>
              </w:rPr>
              <w:t>到账经费的10%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00" w:type="dxa"/>
            <w:vMerge w:val="continue"/>
            <w:vAlign w:val="center"/>
          </w:tcPr>
          <w:p>
            <w:pPr>
              <w:jc w:val="center"/>
              <w:rPr>
                <w:bCs/>
                <w:color w:val="000000"/>
                <w:szCs w:val="21"/>
              </w:rPr>
            </w:pPr>
          </w:p>
        </w:tc>
        <w:tc>
          <w:tcPr>
            <w:tcW w:w="2549" w:type="dxa"/>
            <w:vAlign w:val="center"/>
          </w:tcPr>
          <w:p>
            <w:pPr>
              <w:rPr>
                <w:bCs/>
                <w:color w:val="000000"/>
                <w:szCs w:val="21"/>
              </w:rPr>
            </w:pPr>
            <w:r>
              <w:rPr>
                <w:rFonts w:hAnsi="宋体"/>
                <w:bCs/>
                <w:color w:val="000000"/>
                <w:szCs w:val="21"/>
              </w:rPr>
              <w:t>国家级重点项目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25</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25</w:t>
            </w:r>
          </w:p>
        </w:tc>
        <w:tc>
          <w:tcPr>
            <w:tcW w:w="1987" w:type="dxa"/>
            <w:vMerge w:val="continue"/>
            <w:vAlign w:val="center"/>
          </w:tcPr>
          <w:p>
            <w:pPr>
              <w:tabs>
                <w:tab w:val="left" w:pos="1125"/>
              </w:tabs>
              <w:spacing w:line="320" w:lineRule="exact"/>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00" w:type="dxa"/>
            <w:vMerge w:val="continue"/>
            <w:vAlign w:val="center"/>
          </w:tcPr>
          <w:p>
            <w:pPr>
              <w:tabs>
                <w:tab w:val="left" w:pos="1125"/>
              </w:tabs>
              <w:spacing w:line="320" w:lineRule="exact"/>
              <w:jc w:val="center"/>
              <w:rPr>
                <w:bCs/>
                <w:color w:val="000000"/>
                <w:szCs w:val="21"/>
              </w:rPr>
            </w:pPr>
          </w:p>
        </w:tc>
        <w:tc>
          <w:tcPr>
            <w:tcW w:w="2549" w:type="dxa"/>
            <w:vAlign w:val="center"/>
          </w:tcPr>
          <w:p>
            <w:pPr>
              <w:tabs>
                <w:tab w:val="left" w:pos="1125"/>
              </w:tabs>
              <w:spacing w:line="320" w:lineRule="exact"/>
              <w:rPr>
                <w:bCs/>
                <w:color w:val="000000"/>
                <w:szCs w:val="21"/>
              </w:rPr>
            </w:pPr>
            <w:r>
              <w:rPr>
                <w:rFonts w:hAnsi="宋体"/>
                <w:bCs/>
                <w:color w:val="000000"/>
                <w:szCs w:val="21"/>
              </w:rPr>
              <w:t>国家级一般项目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10</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10</w:t>
            </w:r>
          </w:p>
        </w:tc>
        <w:tc>
          <w:tcPr>
            <w:tcW w:w="1987" w:type="dxa"/>
            <w:vMerge w:val="continue"/>
            <w:vAlign w:val="center"/>
          </w:tcPr>
          <w:p>
            <w:pPr>
              <w:tabs>
                <w:tab w:val="left" w:pos="1125"/>
              </w:tabs>
              <w:spacing w:line="320" w:lineRule="exact"/>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00" w:type="dxa"/>
            <w:vMerge w:val="continue"/>
            <w:vAlign w:val="center"/>
          </w:tcPr>
          <w:p>
            <w:pPr>
              <w:tabs>
                <w:tab w:val="left" w:pos="1125"/>
              </w:tabs>
              <w:spacing w:line="320" w:lineRule="exact"/>
              <w:jc w:val="center"/>
              <w:rPr>
                <w:bCs/>
                <w:color w:val="000000"/>
                <w:szCs w:val="21"/>
              </w:rPr>
            </w:pPr>
          </w:p>
        </w:tc>
        <w:tc>
          <w:tcPr>
            <w:tcW w:w="2549" w:type="dxa"/>
            <w:vAlign w:val="center"/>
          </w:tcPr>
          <w:p>
            <w:pPr>
              <w:tabs>
                <w:tab w:val="left" w:pos="1125"/>
              </w:tabs>
              <w:spacing w:line="320" w:lineRule="exact"/>
              <w:rPr>
                <w:bCs/>
                <w:color w:val="000000"/>
                <w:szCs w:val="21"/>
              </w:rPr>
            </w:pPr>
            <w:r>
              <w:rPr>
                <w:rFonts w:hAnsi="宋体"/>
                <w:bCs/>
                <w:color w:val="000000"/>
                <w:szCs w:val="21"/>
              </w:rPr>
              <w:t>国家基金青年项目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6</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6</w:t>
            </w:r>
          </w:p>
        </w:tc>
        <w:tc>
          <w:tcPr>
            <w:tcW w:w="1987" w:type="dxa"/>
            <w:vMerge w:val="continue"/>
            <w:vAlign w:val="center"/>
          </w:tcPr>
          <w:p>
            <w:pPr>
              <w:tabs>
                <w:tab w:val="left" w:pos="1125"/>
              </w:tabs>
              <w:spacing w:line="320" w:lineRule="exact"/>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00" w:type="dxa"/>
            <w:vMerge w:val="continue"/>
            <w:vAlign w:val="center"/>
          </w:tcPr>
          <w:p>
            <w:pPr>
              <w:tabs>
                <w:tab w:val="left" w:pos="1125"/>
              </w:tabs>
              <w:spacing w:line="320" w:lineRule="exact"/>
              <w:jc w:val="center"/>
              <w:rPr>
                <w:bCs/>
                <w:color w:val="000000"/>
                <w:szCs w:val="21"/>
              </w:rPr>
            </w:pPr>
          </w:p>
        </w:tc>
        <w:tc>
          <w:tcPr>
            <w:tcW w:w="2549" w:type="dxa"/>
            <w:vAlign w:val="center"/>
          </w:tcPr>
          <w:p>
            <w:pPr>
              <w:tabs>
                <w:tab w:val="left" w:pos="1125"/>
              </w:tabs>
              <w:spacing w:line="320" w:lineRule="exact"/>
              <w:rPr>
                <w:bCs/>
                <w:color w:val="000000"/>
                <w:szCs w:val="21"/>
              </w:rPr>
            </w:pPr>
            <w:r>
              <w:rPr>
                <w:rFonts w:hAnsi="宋体"/>
                <w:bCs/>
                <w:color w:val="000000"/>
                <w:szCs w:val="21"/>
              </w:rPr>
              <w:t>国家级其他项目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2.5</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2.5</w:t>
            </w:r>
          </w:p>
        </w:tc>
        <w:tc>
          <w:tcPr>
            <w:tcW w:w="1987" w:type="dxa"/>
            <w:vMerge w:val="continue"/>
            <w:vAlign w:val="center"/>
          </w:tcPr>
          <w:p>
            <w:pPr>
              <w:tabs>
                <w:tab w:val="left" w:pos="1125"/>
              </w:tabs>
              <w:spacing w:line="320" w:lineRule="exact"/>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00" w:type="dxa"/>
            <w:vMerge w:val="restart"/>
            <w:vAlign w:val="center"/>
          </w:tcPr>
          <w:p>
            <w:pPr>
              <w:tabs>
                <w:tab w:val="left" w:pos="1125"/>
              </w:tabs>
              <w:spacing w:line="320" w:lineRule="exact"/>
              <w:jc w:val="center"/>
              <w:rPr>
                <w:bCs/>
                <w:color w:val="000000"/>
                <w:szCs w:val="21"/>
              </w:rPr>
            </w:pPr>
            <w:r>
              <w:rPr>
                <w:rFonts w:hAnsi="宋体"/>
                <w:bCs/>
                <w:color w:val="000000"/>
                <w:szCs w:val="21"/>
              </w:rPr>
              <w:t>省部级</w:t>
            </w:r>
          </w:p>
        </w:tc>
        <w:tc>
          <w:tcPr>
            <w:tcW w:w="2549" w:type="dxa"/>
            <w:vAlign w:val="center"/>
          </w:tcPr>
          <w:p>
            <w:pPr>
              <w:tabs>
                <w:tab w:val="left" w:pos="1125"/>
              </w:tabs>
              <w:spacing w:line="320" w:lineRule="exact"/>
              <w:rPr>
                <w:bCs/>
                <w:color w:val="000000"/>
                <w:szCs w:val="21"/>
              </w:rPr>
            </w:pPr>
            <w:r>
              <w:rPr>
                <w:rFonts w:hAnsi="宋体"/>
                <w:bCs/>
                <w:color w:val="000000"/>
                <w:szCs w:val="21"/>
              </w:rPr>
              <w:t>省部级重大项目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5</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5</w:t>
            </w:r>
          </w:p>
        </w:tc>
        <w:tc>
          <w:tcPr>
            <w:tcW w:w="1987" w:type="dxa"/>
            <w:vMerge w:val="continue"/>
            <w:vAlign w:val="center"/>
          </w:tcPr>
          <w:p>
            <w:pPr>
              <w:tabs>
                <w:tab w:val="left" w:pos="1125"/>
              </w:tabs>
              <w:spacing w:line="320" w:lineRule="exact"/>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00" w:type="dxa"/>
            <w:vMerge w:val="continue"/>
            <w:vAlign w:val="center"/>
          </w:tcPr>
          <w:p>
            <w:pPr>
              <w:tabs>
                <w:tab w:val="left" w:pos="1125"/>
              </w:tabs>
              <w:spacing w:line="320" w:lineRule="exact"/>
              <w:jc w:val="center"/>
              <w:rPr>
                <w:rFonts w:hAnsi="宋体"/>
                <w:bCs/>
                <w:color w:val="000000"/>
                <w:szCs w:val="21"/>
              </w:rPr>
            </w:pPr>
          </w:p>
        </w:tc>
        <w:tc>
          <w:tcPr>
            <w:tcW w:w="2549" w:type="dxa"/>
            <w:vAlign w:val="center"/>
          </w:tcPr>
          <w:p>
            <w:pPr>
              <w:tabs>
                <w:tab w:val="left" w:pos="1125"/>
              </w:tabs>
              <w:spacing w:line="320" w:lineRule="exact"/>
              <w:rPr>
                <w:rFonts w:hAnsi="宋体"/>
                <w:bCs/>
                <w:color w:val="000000"/>
                <w:szCs w:val="21"/>
              </w:rPr>
            </w:pPr>
            <w:r>
              <w:rPr>
                <w:rFonts w:hAnsi="宋体"/>
                <w:bCs/>
                <w:color w:val="000000"/>
                <w:szCs w:val="21"/>
              </w:rPr>
              <w:t>省部级重大项目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4</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4</w:t>
            </w:r>
          </w:p>
        </w:tc>
        <w:tc>
          <w:tcPr>
            <w:tcW w:w="1987" w:type="dxa"/>
            <w:vMerge w:val="continue"/>
            <w:vAlign w:val="center"/>
          </w:tcPr>
          <w:p>
            <w:pPr>
              <w:tabs>
                <w:tab w:val="left" w:pos="1125"/>
              </w:tabs>
              <w:spacing w:line="320" w:lineRule="exact"/>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1100" w:type="dxa"/>
            <w:vMerge w:val="continue"/>
            <w:vAlign w:val="center"/>
          </w:tcPr>
          <w:p>
            <w:pPr>
              <w:tabs>
                <w:tab w:val="left" w:pos="1125"/>
              </w:tabs>
              <w:spacing w:line="320" w:lineRule="exact"/>
              <w:jc w:val="center"/>
              <w:rPr>
                <w:bCs/>
                <w:color w:val="000000"/>
                <w:szCs w:val="21"/>
              </w:rPr>
            </w:pPr>
          </w:p>
        </w:tc>
        <w:tc>
          <w:tcPr>
            <w:tcW w:w="2549" w:type="dxa"/>
            <w:vAlign w:val="center"/>
          </w:tcPr>
          <w:p>
            <w:pPr>
              <w:tabs>
                <w:tab w:val="left" w:pos="1125"/>
              </w:tabs>
              <w:spacing w:line="320" w:lineRule="exact"/>
              <w:rPr>
                <w:bCs/>
                <w:color w:val="000000"/>
                <w:szCs w:val="21"/>
              </w:rPr>
            </w:pPr>
            <w:r>
              <w:rPr>
                <w:rFonts w:hAnsi="宋体"/>
                <w:bCs/>
                <w:color w:val="000000"/>
                <w:szCs w:val="21"/>
              </w:rPr>
              <w:t>省部级基金面上项目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3.5</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3.5</w:t>
            </w:r>
          </w:p>
        </w:tc>
        <w:tc>
          <w:tcPr>
            <w:tcW w:w="1987" w:type="dxa"/>
            <w:vMerge w:val="continue"/>
            <w:vAlign w:val="center"/>
          </w:tcPr>
          <w:p>
            <w:pPr>
              <w:tabs>
                <w:tab w:val="left" w:pos="1125"/>
              </w:tabs>
              <w:spacing w:line="320" w:lineRule="exact"/>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00" w:type="dxa"/>
            <w:vMerge w:val="continue"/>
            <w:vAlign w:val="center"/>
          </w:tcPr>
          <w:p>
            <w:pPr>
              <w:tabs>
                <w:tab w:val="left" w:pos="1125"/>
              </w:tabs>
              <w:spacing w:line="320" w:lineRule="exact"/>
              <w:jc w:val="center"/>
              <w:rPr>
                <w:bCs/>
                <w:color w:val="000000"/>
                <w:szCs w:val="21"/>
              </w:rPr>
            </w:pPr>
          </w:p>
        </w:tc>
        <w:tc>
          <w:tcPr>
            <w:tcW w:w="2549" w:type="dxa"/>
            <w:vAlign w:val="center"/>
          </w:tcPr>
          <w:p>
            <w:pPr>
              <w:tabs>
                <w:tab w:val="left" w:pos="1125"/>
              </w:tabs>
              <w:spacing w:line="320" w:lineRule="exact"/>
              <w:rPr>
                <w:bCs/>
                <w:color w:val="000000"/>
                <w:szCs w:val="21"/>
              </w:rPr>
            </w:pPr>
            <w:r>
              <w:rPr>
                <w:rFonts w:hAnsi="宋体"/>
                <w:bCs/>
                <w:color w:val="000000"/>
                <w:szCs w:val="21"/>
              </w:rPr>
              <w:t>省部级基金青年项目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2.5</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2.5</w:t>
            </w:r>
          </w:p>
        </w:tc>
        <w:tc>
          <w:tcPr>
            <w:tcW w:w="1987" w:type="dxa"/>
            <w:vMerge w:val="continue"/>
            <w:vAlign w:val="center"/>
          </w:tcPr>
          <w:p>
            <w:pPr>
              <w:tabs>
                <w:tab w:val="left" w:pos="1125"/>
              </w:tabs>
              <w:spacing w:line="320" w:lineRule="exact"/>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00" w:type="dxa"/>
            <w:vMerge w:val="continue"/>
            <w:vAlign w:val="center"/>
          </w:tcPr>
          <w:p>
            <w:pPr>
              <w:tabs>
                <w:tab w:val="left" w:pos="1125"/>
              </w:tabs>
              <w:spacing w:line="320" w:lineRule="exact"/>
              <w:jc w:val="center"/>
              <w:rPr>
                <w:bCs/>
                <w:color w:val="000000"/>
                <w:szCs w:val="21"/>
              </w:rPr>
            </w:pPr>
          </w:p>
        </w:tc>
        <w:tc>
          <w:tcPr>
            <w:tcW w:w="2549" w:type="dxa"/>
            <w:vAlign w:val="center"/>
          </w:tcPr>
          <w:p>
            <w:pPr>
              <w:tabs>
                <w:tab w:val="left" w:pos="1125"/>
              </w:tabs>
              <w:spacing w:line="320" w:lineRule="exact"/>
              <w:rPr>
                <w:bCs/>
                <w:color w:val="000000"/>
                <w:szCs w:val="21"/>
              </w:rPr>
            </w:pPr>
            <w:r>
              <w:rPr>
                <w:rFonts w:hAnsi="宋体"/>
                <w:bCs/>
                <w:color w:val="000000"/>
                <w:szCs w:val="21"/>
              </w:rPr>
              <w:t>省部级其他项目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1.5</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1.5</w:t>
            </w:r>
          </w:p>
        </w:tc>
        <w:tc>
          <w:tcPr>
            <w:tcW w:w="1987" w:type="dxa"/>
            <w:vMerge w:val="continue"/>
            <w:vAlign w:val="center"/>
          </w:tcPr>
          <w:p>
            <w:pPr>
              <w:tabs>
                <w:tab w:val="left" w:pos="1125"/>
              </w:tabs>
              <w:spacing w:line="320" w:lineRule="exact"/>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00" w:type="dxa"/>
            <w:vMerge w:val="restart"/>
            <w:vAlign w:val="center"/>
          </w:tcPr>
          <w:p>
            <w:pPr>
              <w:tabs>
                <w:tab w:val="left" w:pos="1125"/>
              </w:tabs>
              <w:spacing w:line="320" w:lineRule="exact"/>
              <w:jc w:val="center"/>
              <w:rPr>
                <w:bCs/>
                <w:color w:val="000000"/>
                <w:szCs w:val="21"/>
              </w:rPr>
            </w:pPr>
            <w:r>
              <w:rPr>
                <w:rFonts w:hAnsi="宋体"/>
                <w:bCs/>
                <w:color w:val="000000"/>
                <w:szCs w:val="21"/>
              </w:rPr>
              <w:t>市厅级</w:t>
            </w:r>
          </w:p>
        </w:tc>
        <w:tc>
          <w:tcPr>
            <w:tcW w:w="2549" w:type="dxa"/>
            <w:vAlign w:val="center"/>
          </w:tcPr>
          <w:p>
            <w:pPr>
              <w:tabs>
                <w:tab w:val="left" w:pos="1125"/>
              </w:tabs>
              <w:spacing w:line="320" w:lineRule="exact"/>
              <w:rPr>
                <w:bCs/>
                <w:color w:val="000000"/>
                <w:szCs w:val="21"/>
              </w:rPr>
            </w:pPr>
            <w:r>
              <w:rPr>
                <w:rFonts w:hAnsi="宋体"/>
                <w:bCs/>
                <w:color w:val="000000"/>
                <w:szCs w:val="21"/>
              </w:rPr>
              <w:t>市厅级重大、重点项目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1</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1</w:t>
            </w:r>
          </w:p>
        </w:tc>
        <w:tc>
          <w:tcPr>
            <w:tcW w:w="1987" w:type="dxa"/>
            <w:vMerge w:val="continue"/>
            <w:vAlign w:val="center"/>
          </w:tcPr>
          <w:p>
            <w:pPr>
              <w:tabs>
                <w:tab w:val="left" w:pos="1125"/>
              </w:tabs>
              <w:spacing w:line="320" w:lineRule="exact"/>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100" w:type="dxa"/>
            <w:vMerge w:val="continue"/>
            <w:vAlign w:val="center"/>
          </w:tcPr>
          <w:p>
            <w:pPr>
              <w:tabs>
                <w:tab w:val="left" w:pos="1125"/>
              </w:tabs>
              <w:spacing w:line="320" w:lineRule="exact"/>
              <w:jc w:val="center"/>
              <w:rPr>
                <w:bCs/>
                <w:color w:val="000000"/>
                <w:szCs w:val="21"/>
              </w:rPr>
            </w:pPr>
          </w:p>
        </w:tc>
        <w:tc>
          <w:tcPr>
            <w:tcW w:w="2549" w:type="dxa"/>
            <w:vAlign w:val="center"/>
          </w:tcPr>
          <w:p>
            <w:pPr>
              <w:tabs>
                <w:tab w:val="left" w:pos="1125"/>
              </w:tabs>
              <w:spacing w:line="320" w:lineRule="exact"/>
              <w:rPr>
                <w:bCs/>
                <w:color w:val="000000"/>
                <w:szCs w:val="21"/>
              </w:rPr>
            </w:pPr>
            <w:r>
              <w:rPr>
                <w:rFonts w:hAnsi="宋体"/>
                <w:bCs/>
                <w:color w:val="000000"/>
                <w:szCs w:val="21"/>
              </w:rPr>
              <w:t>市厅级一般项目</w:t>
            </w:r>
          </w:p>
        </w:tc>
        <w:tc>
          <w:tcPr>
            <w:tcW w:w="902" w:type="dxa"/>
            <w:vAlign w:val="center"/>
          </w:tcPr>
          <w:p>
            <w:pPr>
              <w:tabs>
                <w:tab w:val="left" w:pos="1125"/>
              </w:tabs>
              <w:spacing w:line="320" w:lineRule="exact"/>
              <w:jc w:val="center"/>
              <w:rPr>
                <w:bCs/>
                <w:color w:val="000000"/>
                <w:szCs w:val="21"/>
              </w:rPr>
            </w:pPr>
            <w:r>
              <w:rPr>
                <w:rFonts w:hint="eastAsia"/>
                <w:bCs/>
                <w:color w:val="000000"/>
                <w:szCs w:val="21"/>
              </w:rPr>
              <w:t>-</w:t>
            </w:r>
          </w:p>
        </w:tc>
        <w:tc>
          <w:tcPr>
            <w:tcW w:w="945" w:type="dxa"/>
            <w:vAlign w:val="center"/>
          </w:tcPr>
          <w:p>
            <w:pPr>
              <w:tabs>
                <w:tab w:val="left" w:pos="1125"/>
              </w:tabs>
              <w:spacing w:line="320" w:lineRule="exact"/>
              <w:jc w:val="center"/>
              <w:rPr>
                <w:bCs/>
                <w:color w:val="000000"/>
                <w:szCs w:val="21"/>
              </w:rPr>
            </w:pPr>
            <w:r>
              <w:rPr>
                <w:rFonts w:hint="eastAsia"/>
                <w:bCs/>
                <w:color w:val="000000"/>
                <w:szCs w:val="21"/>
              </w:rPr>
              <w:t>-</w:t>
            </w:r>
          </w:p>
        </w:tc>
        <w:tc>
          <w:tcPr>
            <w:tcW w:w="1987" w:type="dxa"/>
            <w:vMerge w:val="continue"/>
            <w:vAlign w:val="center"/>
          </w:tcPr>
          <w:p>
            <w:pPr>
              <w:tabs>
                <w:tab w:val="left" w:pos="1125"/>
              </w:tabs>
              <w:spacing w:line="320" w:lineRule="exact"/>
              <w:jc w:val="center"/>
              <w:rPr>
                <w:bCs/>
                <w:color w:val="000000"/>
                <w:szCs w:val="21"/>
              </w:rPr>
            </w:pPr>
          </w:p>
        </w:tc>
      </w:tr>
    </w:tbl>
    <w:p>
      <w:pPr>
        <w:spacing w:line="560" w:lineRule="exact"/>
        <w:ind w:firstLine="562" w:firstLineChars="200"/>
        <w:rPr>
          <w:rFonts w:hint="eastAsia" w:ascii="仿宋_GB2312" w:hAnsi="仿宋" w:eastAsia="仿宋_GB2312"/>
          <w:color w:val="000000"/>
          <w:sz w:val="28"/>
          <w:szCs w:val="28"/>
        </w:rPr>
      </w:pPr>
      <w:r>
        <w:rPr>
          <w:rFonts w:hint="eastAsia" w:ascii="仿宋_GB2312" w:hAnsi="仿宋" w:eastAsia="仿宋_GB2312"/>
          <w:b/>
          <w:color w:val="000000"/>
          <w:sz w:val="28"/>
          <w:szCs w:val="28"/>
        </w:rPr>
        <w:t>第七条</w:t>
      </w:r>
      <w:r>
        <w:rPr>
          <w:rFonts w:hint="eastAsia" w:ascii="仿宋_GB2312" w:hAnsi="仿宋" w:eastAsia="仿宋_GB2312"/>
          <w:color w:val="000000"/>
          <w:sz w:val="28"/>
          <w:szCs w:val="28"/>
        </w:rPr>
        <w:t xml:space="preserve">  </w:t>
      </w:r>
      <w:r>
        <w:rPr>
          <w:rFonts w:hint="eastAsia" w:ascii="仿宋_GB2312" w:eastAsia="仿宋_GB2312"/>
          <w:color w:val="000000"/>
          <w:sz w:val="28"/>
          <w:szCs w:val="28"/>
        </w:rPr>
        <w:t>产学研合作项目（横向项目）</w:t>
      </w:r>
      <w:r>
        <w:rPr>
          <w:rFonts w:hint="eastAsia" w:ascii="仿宋_GB2312" w:hAnsi="仿宋" w:eastAsia="仿宋_GB2312"/>
          <w:color w:val="000000"/>
          <w:sz w:val="28"/>
          <w:szCs w:val="28"/>
        </w:rPr>
        <w:t>奖励，是指与校外企事业单位签订科技开发、科技服务、科技转让或科技咨询合同，单个项目按当年实际到账经费的相应比例进行分档奖励。分档奖励比例如下：</w:t>
      </w:r>
    </w:p>
    <w:p>
      <w:pPr>
        <w:spacing w:line="80" w:lineRule="exact"/>
        <w:ind w:firstLine="560" w:firstLineChars="200"/>
        <w:rPr>
          <w:rFonts w:hint="eastAsia" w:ascii="仿宋_GB2312" w:hAnsi="仿宋" w:eastAsia="仿宋_GB2312"/>
          <w:color w:val="000000"/>
          <w:sz w:val="28"/>
          <w:szCs w:val="28"/>
        </w:rPr>
      </w:pPr>
    </w:p>
    <w:tbl>
      <w:tblPr>
        <w:tblStyle w:val="5"/>
        <w:tblW w:w="5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9"/>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3419" w:type="dxa"/>
            <w:vAlign w:val="center"/>
          </w:tcPr>
          <w:p>
            <w:pPr>
              <w:tabs>
                <w:tab w:val="left" w:pos="1125"/>
              </w:tabs>
              <w:spacing w:line="320" w:lineRule="exact"/>
              <w:jc w:val="center"/>
              <w:rPr>
                <w:color w:val="000000"/>
                <w:szCs w:val="21"/>
              </w:rPr>
            </w:pPr>
            <w:r>
              <w:rPr>
                <w:rFonts w:hAnsi="宋体"/>
                <w:color w:val="000000"/>
                <w:szCs w:val="21"/>
              </w:rPr>
              <w:t>当年到账经费（万元）</w:t>
            </w:r>
          </w:p>
        </w:tc>
        <w:tc>
          <w:tcPr>
            <w:tcW w:w="2550" w:type="dxa"/>
            <w:vAlign w:val="center"/>
          </w:tcPr>
          <w:p>
            <w:pPr>
              <w:tabs>
                <w:tab w:val="left" w:pos="1125"/>
              </w:tabs>
              <w:spacing w:line="320" w:lineRule="exact"/>
              <w:jc w:val="center"/>
              <w:rPr>
                <w:color w:val="000000"/>
                <w:szCs w:val="21"/>
              </w:rPr>
            </w:pPr>
            <w:r>
              <w:rPr>
                <w:color w:val="000000"/>
                <w:szCs w:val="21"/>
              </w:rPr>
              <w:t>奖励比例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3419" w:type="dxa"/>
            <w:vAlign w:val="center"/>
          </w:tcPr>
          <w:p>
            <w:pPr>
              <w:jc w:val="center"/>
              <w:rPr>
                <w:bCs/>
                <w:color w:val="000000"/>
                <w:szCs w:val="21"/>
              </w:rPr>
            </w:pPr>
            <w:r>
              <w:rPr>
                <w:rFonts w:hint="eastAsia"/>
                <w:bCs/>
                <w:color w:val="000000"/>
                <w:szCs w:val="21"/>
              </w:rPr>
              <w:t>&lt;50</w:t>
            </w:r>
          </w:p>
        </w:tc>
        <w:tc>
          <w:tcPr>
            <w:tcW w:w="2550" w:type="dxa"/>
            <w:vAlign w:val="center"/>
          </w:tcPr>
          <w:p>
            <w:pPr>
              <w:tabs>
                <w:tab w:val="left" w:pos="1125"/>
              </w:tabs>
              <w:spacing w:line="320" w:lineRule="exact"/>
              <w:jc w:val="center"/>
              <w:rPr>
                <w:bCs/>
                <w:color w:val="000000"/>
                <w:szCs w:val="21"/>
              </w:rPr>
            </w:pPr>
            <w:r>
              <w:rPr>
                <w:rFonts w:hint="eastAsia"/>
                <w:bCs/>
                <w:color w:val="000000"/>
                <w:szCs w:val="21"/>
              </w:rPr>
              <w:t>5</w:t>
            </w:r>
            <w:r>
              <w:rPr>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419" w:type="dxa"/>
            <w:vAlign w:val="center"/>
          </w:tcPr>
          <w:p>
            <w:pPr>
              <w:tabs>
                <w:tab w:val="left" w:pos="1125"/>
              </w:tabs>
              <w:spacing w:line="320" w:lineRule="exact"/>
              <w:jc w:val="center"/>
              <w:rPr>
                <w:bCs/>
                <w:color w:val="000000"/>
                <w:szCs w:val="21"/>
              </w:rPr>
            </w:pPr>
            <w:r>
              <w:rPr>
                <w:bCs/>
                <w:color w:val="000000"/>
                <w:szCs w:val="21"/>
              </w:rPr>
              <w:t>≥</w:t>
            </w:r>
            <w:r>
              <w:rPr>
                <w:rFonts w:hint="eastAsia"/>
                <w:bCs/>
                <w:color w:val="000000"/>
                <w:szCs w:val="21"/>
              </w:rPr>
              <w:t>5</w:t>
            </w:r>
            <w:r>
              <w:rPr>
                <w:bCs/>
                <w:color w:val="000000"/>
                <w:szCs w:val="21"/>
              </w:rPr>
              <w:t>0</w:t>
            </w:r>
            <w:r>
              <w:rPr>
                <w:rFonts w:hint="eastAsia"/>
                <w:bCs/>
                <w:color w:val="000000"/>
                <w:szCs w:val="21"/>
              </w:rPr>
              <w:t>且&lt;15</w:t>
            </w:r>
            <w:r>
              <w:rPr>
                <w:bCs/>
                <w:color w:val="000000"/>
                <w:szCs w:val="21"/>
              </w:rPr>
              <w:t>0</w:t>
            </w:r>
          </w:p>
        </w:tc>
        <w:tc>
          <w:tcPr>
            <w:tcW w:w="2550" w:type="dxa"/>
            <w:vAlign w:val="center"/>
          </w:tcPr>
          <w:p>
            <w:pPr>
              <w:tabs>
                <w:tab w:val="left" w:pos="1125"/>
              </w:tabs>
              <w:spacing w:line="320" w:lineRule="exact"/>
              <w:jc w:val="center"/>
              <w:rPr>
                <w:bCs/>
                <w:color w:val="000000"/>
                <w:szCs w:val="21"/>
              </w:rPr>
            </w:pPr>
            <w:r>
              <w:rPr>
                <w:rFonts w:hint="eastAsia"/>
                <w:bCs/>
                <w:color w:val="000000"/>
                <w:szCs w:val="21"/>
              </w:rPr>
              <w:t>6</w:t>
            </w:r>
            <w:r>
              <w:rPr>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3419" w:type="dxa"/>
            <w:vAlign w:val="center"/>
          </w:tcPr>
          <w:p>
            <w:pPr>
              <w:tabs>
                <w:tab w:val="left" w:pos="1125"/>
              </w:tabs>
              <w:spacing w:line="320" w:lineRule="exact"/>
              <w:jc w:val="center"/>
              <w:rPr>
                <w:bCs/>
                <w:color w:val="000000"/>
                <w:szCs w:val="21"/>
              </w:rPr>
            </w:pPr>
            <w:r>
              <w:rPr>
                <w:bCs/>
                <w:color w:val="000000"/>
                <w:szCs w:val="21"/>
              </w:rPr>
              <w:t>≥</w:t>
            </w:r>
            <w:r>
              <w:rPr>
                <w:rFonts w:hint="eastAsia"/>
                <w:bCs/>
                <w:color w:val="000000"/>
                <w:szCs w:val="21"/>
              </w:rPr>
              <w:t>15</w:t>
            </w:r>
            <w:r>
              <w:rPr>
                <w:bCs/>
                <w:color w:val="000000"/>
                <w:szCs w:val="21"/>
              </w:rPr>
              <w:t>0</w:t>
            </w:r>
            <w:r>
              <w:rPr>
                <w:rFonts w:hint="eastAsia"/>
                <w:bCs/>
                <w:color w:val="000000"/>
                <w:szCs w:val="21"/>
              </w:rPr>
              <w:t>且&lt;30</w:t>
            </w:r>
            <w:r>
              <w:rPr>
                <w:bCs/>
                <w:color w:val="000000"/>
                <w:szCs w:val="21"/>
              </w:rPr>
              <w:t>0</w:t>
            </w:r>
          </w:p>
        </w:tc>
        <w:tc>
          <w:tcPr>
            <w:tcW w:w="2550" w:type="dxa"/>
            <w:vAlign w:val="center"/>
          </w:tcPr>
          <w:p>
            <w:pPr>
              <w:tabs>
                <w:tab w:val="left" w:pos="1125"/>
              </w:tabs>
              <w:spacing w:line="320" w:lineRule="exact"/>
              <w:jc w:val="center"/>
              <w:rPr>
                <w:bCs/>
                <w:color w:val="000000"/>
                <w:szCs w:val="21"/>
              </w:rPr>
            </w:pPr>
            <w:r>
              <w:rPr>
                <w:rFonts w:hint="eastAsia"/>
                <w:bCs/>
                <w:color w:val="000000"/>
                <w:szCs w:val="21"/>
              </w:rPr>
              <w:t>7</w:t>
            </w:r>
            <w:r>
              <w:rPr>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3419" w:type="dxa"/>
            <w:vAlign w:val="center"/>
          </w:tcPr>
          <w:p>
            <w:pPr>
              <w:tabs>
                <w:tab w:val="left" w:pos="1125"/>
              </w:tabs>
              <w:spacing w:line="320" w:lineRule="exact"/>
              <w:jc w:val="center"/>
              <w:rPr>
                <w:bCs/>
                <w:color w:val="000000"/>
                <w:szCs w:val="21"/>
              </w:rPr>
            </w:pPr>
            <w:r>
              <w:rPr>
                <w:bCs/>
                <w:color w:val="000000"/>
                <w:szCs w:val="21"/>
              </w:rPr>
              <w:t>≥</w:t>
            </w:r>
            <w:r>
              <w:rPr>
                <w:rFonts w:hint="eastAsia"/>
                <w:bCs/>
                <w:color w:val="000000"/>
                <w:szCs w:val="21"/>
              </w:rPr>
              <w:t>30</w:t>
            </w:r>
            <w:r>
              <w:rPr>
                <w:bCs/>
                <w:color w:val="000000"/>
                <w:szCs w:val="21"/>
              </w:rPr>
              <w:t>0</w:t>
            </w:r>
            <w:r>
              <w:rPr>
                <w:rFonts w:hint="eastAsia"/>
                <w:bCs/>
                <w:color w:val="000000"/>
                <w:szCs w:val="21"/>
              </w:rPr>
              <w:t>且&lt;50</w:t>
            </w:r>
            <w:r>
              <w:rPr>
                <w:bCs/>
                <w:color w:val="000000"/>
                <w:szCs w:val="21"/>
              </w:rPr>
              <w:t>0</w:t>
            </w:r>
          </w:p>
        </w:tc>
        <w:tc>
          <w:tcPr>
            <w:tcW w:w="2550" w:type="dxa"/>
            <w:vAlign w:val="center"/>
          </w:tcPr>
          <w:p>
            <w:pPr>
              <w:tabs>
                <w:tab w:val="left" w:pos="1125"/>
              </w:tabs>
              <w:spacing w:line="320" w:lineRule="exact"/>
              <w:jc w:val="center"/>
              <w:rPr>
                <w:bCs/>
                <w:color w:val="000000"/>
                <w:szCs w:val="21"/>
              </w:rPr>
            </w:pPr>
            <w:r>
              <w:rPr>
                <w:rFonts w:hint="eastAsia"/>
                <w:bCs/>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3419" w:type="dxa"/>
            <w:vAlign w:val="center"/>
          </w:tcPr>
          <w:p>
            <w:pPr>
              <w:tabs>
                <w:tab w:val="left" w:pos="1125"/>
              </w:tabs>
              <w:spacing w:line="320" w:lineRule="exact"/>
              <w:jc w:val="center"/>
              <w:rPr>
                <w:bCs/>
                <w:color w:val="000000"/>
                <w:szCs w:val="21"/>
              </w:rPr>
            </w:pPr>
            <w:r>
              <w:rPr>
                <w:bCs/>
                <w:color w:val="000000"/>
                <w:szCs w:val="21"/>
              </w:rPr>
              <w:t>≥</w:t>
            </w:r>
            <w:r>
              <w:rPr>
                <w:rFonts w:hint="eastAsia"/>
                <w:bCs/>
                <w:color w:val="000000"/>
                <w:szCs w:val="21"/>
              </w:rPr>
              <w:t>50</w:t>
            </w:r>
            <w:r>
              <w:rPr>
                <w:bCs/>
                <w:color w:val="000000"/>
                <w:szCs w:val="21"/>
              </w:rPr>
              <w:t>0</w:t>
            </w:r>
          </w:p>
        </w:tc>
        <w:tc>
          <w:tcPr>
            <w:tcW w:w="2550" w:type="dxa"/>
            <w:vAlign w:val="center"/>
          </w:tcPr>
          <w:p>
            <w:pPr>
              <w:tabs>
                <w:tab w:val="left" w:pos="1125"/>
              </w:tabs>
              <w:spacing w:line="320" w:lineRule="exact"/>
              <w:jc w:val="center"/>
              <w:rPr>
                <w:rFonts w:hint="eastAsia"/>
                <w:bCs/>
                <w:color w:val="000000"/>
                <w:szCs w:val="21"/>
              </w:rPr>
            </w:pPr>
            <w:r>
              <w:rPr>
                <w:rFonts w:hint="eastAsia"/>
                <w:bCs/>
                <w:color w:val="000000"/>
                <w:szCs w:val="21"/>
              </w:rPr>
              <w:t>50万</w:t>
            </w:r>
          </w:p>
        </w:tc>
      </w:tr>
    </w:tbl>
    <w:p>
      <w:pPr>
        <w:spacing w:line="560" w:lineRule="exact"/>
        <w:ind w:firstLine="562" w:firstLineChars="200"/>
        <w:rPr>
          <w:rFonts w:hint="eastAsia" w:ascii="仿宋_GB2312" w:eastAsia="仿宋_GB2312"/>
          <w:color w:val="000000"/>
          <w:sz w:val="28"/>
          <w:szCs w:val="28"/>
        </w:rPr>
      </w:pPr>
      <w:r>
        <w:rPr>
          <w:rFonts w:hint="eastAsia" w:ascii="仿宋_GB2312" w:eastAsia="仿宋_GB2312"/>
          <w:b/>
          <w:color w:val="000000"/>
          <w:sz w:val="28"/>
          <w:szCs w:val="28"/>
        </w:rPr>
        <w:t>第八条</w:t>
      </w:r>
      <w:r>
        <w:rPr>
          <w:rFonts w:hint="eastAsia" w:ascii="仿宋_GB2312" w:eastAsia="仿宋_GB2312"/>
          <w:color w:val="000000"/>
          <w:sz w:val="28"/>
          <w:szCs w:val="28"/>
        </w:rPr>
        <w:t xml:space="preserve">  学术</w:t>
      </w:r>
      <w:r>
        <w:rPr>
          <w:rFonts w:hint="eastAsia" w:ascii="仿宋_GB2312" w:hAnsi="仿宋" w:eastAsia="仿宋_GB2312"/>
          <w:bCs/>
          <w:color w:val="000000"/>
          <w:sz w:val="28"/>
          <w:szCs w:val="28"/>
        </w:rPr>
        <w:t>论文奖励只奖励我校教师为第一作者或通讯作者并以常州工学院为第一署名单位发表的论文。其中我校教师为通讯作者，则要求该论文的第一作者需是本人实际指导的研究生或</w:t>
      </w:r>
      <w:r>
        <w:rPr>
          <w:rFonts w:ascii="仿宋_GB2312" w:hAnsi="仿宋" w:eastAsia="仿宋_GB2312"/>
          <w:bCs/>
          <w:color w:val="000000"/>
          <w:sz w:val="28"/>
          <w:szCs w:val="28"/>
        </w:rPr>
        <w:t>本科生</w:t>
      </w:r>
      <w:r>
        <w:rPr>
          <w:rFonts w:hint="eastAsia" w:ascii="仿宋_GB2312" w:hAnsi="仿宋" w:eastAsia="仿宋_GB2312"/>
          <w:bCs/>
          <w:color w:val="000000"/>
          <w:sz w:val="28"/>
          <w:szCs w:val="28"/>
        </w:rPr>
        <w:t>。奖</w:t>
      </w:r>
      <w:r>
        <w:rPr>
          <w:rFonts w:hint="eastAsia" w:ascii="仿宋_GB2312" w:eastAsia="仿宋_GB2312"/>
          <w:color w:val="000000"/>
          <w:sz w:val="28"/>
          <w:szCs w:val="28"/>
        </w:rPr>
        <w:t>励条目及标准如下：</w:t>
      </w:r>
    </w:p>
    <w:tbl>
      <w:tblPr>
        <w:tblStyle w:val="5"/>
        <w:tblW w:w="7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98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0" w:type="dxa"/>
            <w:gridSpan w:val="2"/>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论文奖励类别</w:t>
            </w:r>
          </w:p>
        </w:tc>
        <w:tc>
          <w:tcPr>
            <w:tcW w:w="2693"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奖励标准(万元/篇)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5070" w:type="dxa"/>
            <w:gridSpan w:val="2"/>
            <w:vAlign w:val="center"/>
          </w:tcPr>
          <w:p>
            <w:pPr>
              <w:rPr>
                <w:rFonts w:eastAsia="仿宋_GB2312"/>
                <w:bCs/>
                <w:color w:val="000000"/>
                <w:szCs w:val="21"/>
              </w:rPr>
            </w:pPr>
            <w:r>
              <w:rPr>
                <w:color w:val="000000"/>
                <w:sz w:val="18"/>
                <w:szCs w:val="18"/>
              </w:rPr>
              <w:t>Science</w:t>
            </w:r>
            <w:r>
              <w:rPr>
                <w:rFonts w:hAnsi="宋体"/>
                <w:color w:val="000000"/>
                <w:sz w:val="18"/>
                <w:szCs w:val="18"/>
              </w:rPr>
              <w:t>、</w:t>
            </w:r>
            <w:r>
              <w:rPr>
                <w:color w:val="000000"/>
                <w:sz w:val="18"/>
                <w:szCs w:val="18"/>
              </w:rPr>
              <w:t>Nature</w:t>
            </w:r>
            <w:r>
              <w:rPr>
                <w:rFonts w:hAnsi="宋体"/>
                <w:color w:val="000000"/>
                <w:kern w:val="0"/>
                <w:sz w:val="18"/>
                <w:szCs w:val="18"/>
              </w:rPr>
              <w:t>期刊</w:t>
            </w:r>
          </w:p>
        </w:tc>
        <w:tc>
          <w:tcPr>
            <w:tcW w:w="2693" w:type="dxa"/>
            <w:vAlign w:val="center"/>
          </w:tcPr>
          <w:p>
            <w:pPr>
              <w:jc w:val="center"/>
              <w:rPr>
                <w:rFonts w:eastAsia="仿宋_GB2312"/>
                <w:bCs/>
                <w:color w:val="000000"/>
                <w:szCs w:val="21"/>
              </w:rPr>
            </w:pPr>
            <w:r>
              <w:rPr>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090" w:type="dxa"/>
            <w:vMerge w:val="restart"/>
            <w:vAlign w:val="center"/>
          </w:tcPr>
          <w:p>
            <w:pPr>
              <w:jc w:val="center"/>
              <w:rPr>
                <w:rFonts w:eastAsia="仿宋_GB2312"/>
                <w:bCs/>
                <w:color w:val="000000"/>
                <w:szCs w:val="21"/>
              </w:rPr>
            </w:pPr>
            <w:r>
              <w:rPr>
                <w:color w:val="000000"/>
                <w:sz w:val="18"/>
                <w:szCs w:val="18"/>
              </w:rPr>
              <w:t>SCI</w:t>
            </w:r>
            <w:r>
              <w:rPr>
                <w:rFonts w:hAnsi="宋体"/>
                <w:color w:val="000000"/>
                <w:kern w:val="0"/>
                <w:sz w:val="18"/>
                <w:szCs w:val="18"/>
              </w:rPr>
              <w:t>期刊</w:t>
            </w:r>
          </w:p>
        </w:tc>
        <w:tc>
          <w:tcPr>
            <w:tcW w:w="2980" w:type="dxa"/>
            <w:vAlign w:val="center"/>
          </w:tcPr>
          <w:p>
            <w:pPr>
              <w:rPr>
                <w:rFonts w:eastAsia="仿宋_GB2312"/>
                <w:bCs/>
                <w:color w:val="000000"/>
                <w:szCs w:val="21"/>
              </w:rPr>
            </w:pPr>
            <w:r>
              <w:rPr>
                <w:rFonts w:ascii="仿宋" w:hAnsi="仿宋" w:eastAsia="仿宋"/>
                <w:bCs/>
                <w:color w:val="000000"/>
                <w:szCs w:val="21"/>
              </w:rPr>
              <w:t>Ⅰ</w:t>
            </w:r>
            <w:r>
              <w:rPr>
                <w:rFonts w:hAnsi="仿宋" w:eastAsia="仿宋"/>
                <w:bCs/>
                <w:color w:val="000000"/>
                <w:szCs w:val="21"/>
              </w:rPr>
              <w:t>区</w:t>
            </w:r>
          </w:p>
        </w:tc>
        <w:tc>
          <w:tcPr>
            <w:tcW w:w="2693" w:type="dxa"/>
            <w:vAlign w:val="center"/>
          </w:tcPr>
          <w:p>
            <w:pPr>
              <w:jc w:val="center"/>
              <w:rPr>
                <w:rFonts w:eastAsia="仿宋_GB2312"/>
                <w:bCs/>
                <w:color w:val="000000"/>
                <w:szCs w:val="21"/>
              </w:rPr>
            </w:pPr>
            <w:r>
              <w:rPr>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090" w:type="dxa"/>
            <w:vMerge w:val="continue"/>
            <w:vAlign w:val="top"/>
          </w:tcPr>
          <w:p>
            <w:pPr>
              <w:rPr>
                <w:color w:val="000000"/>
                <w:sz w:val="18"/>
                <w:szCs w:val="18"/>
              </w:rPr>
            </w:pPr>
          </w:p>
        </w:tc>
        <w:tc>
          <w:tcPr>
            <w:tcW w:w="2980" w:type="dxa"/>
            <w:vAlign w:val="center"/>
          </w:tcPr>
          <w:p>
            <w:pPr>
              <w:rPr>
                <w:rFonts w:eastAsia="仿宋_GB2312"/>
                <w:bCs/>
                <w:color w:val="000000"/>
                <w:szCs w:val="21"/>
              </w:rPr>
            </w:pPr>
            <w:r>
              <w:rPr>
                <w:rFonts w:ascii="仿宋" w:hAnsi="仿宋" w:eastAsia="仿宋"/>
                <w:bCs/>
                <w:color w:val="000000"/>
                <w:szCs w:val="21"/>
              </w:rPr>
              <w:t>Ⅱ</w:t>
            </w:r>
            <w:r>
              <w:rPr>
                <w:rFonts w:hAnsi="仿宋" w:eastAsia="仿宋"/>
                <w:bCs/>
                <w:color w:val="000000"/>
                <w:szCs w:val="21"/>
              </w:rPr>
              <w:t>区</w:t>
            </w:r>
          </w:p>
        </w:tc>
        <w:tc>
          <w:tcPr>
            <w:tcW w:w="2693" w:type="dxa"/>
            <w:vAlign w:val="center"/>
          </w:tcPr>
          <w:p>
            <w:pPr>
              <w:jc w:val="center"/>
              <w:rPr>
                <w:rFonts w:eastAsia="仿宋_GB2312"/>
                <w:bCs/>
                <w:color w:val="000000"/>
                <w:szCs w:val="21"/>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090" w:type="dxa"/>
            <w:vMerge w:val="continue"/>
            <w:vAlign w:val="top"/>
          </w:tcPr>
          <w:p>
            <w:pPr>
              <w:rPr>
                <w:color w:val="000000"/>
                <w:sz w:val="18"/>
                <w:szCs w:val="18"/>
              </w:rPr>
            </w:pPr>
          </w:p>
        </w:tc>
        <w:tc>
          <w:tcPr>
            <w:tcW w:w="2980" w:type="dxa"/>
            <w:vAlign w:val="center"/>
          </w:tcPr>
          <w:p>
            <w:pPr>
              <w:rPr>
                <w:rFonts w:eastAsia="仿宋_GB2312"/>
                <w:bCs/>
                <w:color w:val="000000"/>
                <w:szCs w:val="21"/>
              </w:rPr>
            </w:pPr>
            <w:r>
              <w:rPr>
                <w:rFonts w:ascii="仿宋" w:hAnsi="仿宋" w:eastAsia="仿宋"/>
                <w:bCs/>
                <w:color w:val="000000"/>
                <w:szCs w:val="21"/>
              </w:rPr>
              <w:t>Ⅲ</w:t>
            </w:r>
            <w:r>
              <w:rPr>
                <w:rFonts w:hAnsi="仿宋" w:eastAsia="仿宋"/>
                <w:bCs/>
                <w:color w:val="000000"/>
                <w:szCs w:val="21"/>
              </w:rPr>
              <w:t>区</w:t>
            </w:r>
          </w:p>
        </w:tc>
        <w:tc>
          <w:tcPr>
            <w:tcW w:w="2693" w:type="dxa"/>
            <w:vAlign w:val="center"/>
          </w:tcPr>
          <w:p>
            <w:pPr>
              <w:jc w:val="center"/>
              <w:rPr>
                <w:b/>
                <w:color w:val="000000"/>
                <w:sz w:val="18"/>
                <w:szCs w:val="18"/>
              </w:rPr>
            </w:pPr>
            <w:r>
              <w:rPr>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2090" w:type="dxa"/>
            <w:vMerge w:val="continue"/>
            <w:vAlign w:val="top"/>
          </w:tcPr>
          <w:p>
            <w:pPr>
              <w:rPr>
                <w:color w:val="000000"/>
                <w:sz w:val="18"/>
                <w:szCs w:val="18"/>
              </w:rPr>
            </w:pPr>
          </w:p>
        </w:tc>
        <w:tc>
          <w:tcPr>
            <w:tcW w:w="2980" w:type="dxa"/>
            <w:vAlign w:val="center"/>
          </w:tcPr>
          <w:p>
            <w:pPr>
              <w:rPr>
                <w:rFonts w:eastAsia="仿宋_GB2312"/>
                <w:bCs/>
                <w:color w:val="000000"/>
                <w:szCs w:val="21"/>
              </w:rPr>
            </w:pPr>
            <w:r>
              <w:rPr>
                <w:rFonts w:ascii="仿宋" w:hAnsi="仿宋" w:eastAsia="仿宋"/>
                <w:bCs/>
                <w:color w:val="000000"/>
                <w:szCs w:val="21"/>
              </w:rPr>
              <w:t>Ⅳ</w:t>
            </w:r>
            <w:r>
              <w:rPr>
                <w:rFonts w:hAnsi="仿宋" w:eastAsia="仿宋"/>
                <w:bCs/>
                <w:color w:val="000000"/>
                <w:szCs w:val="21"/>
              </w:rPr>
              <w:t>区</w:t>
            </w:r>
          </w:p>
        </w:tc>
        <w:tc>
          <w:tcPr>
            <w:tcW w:w="2693" w:type="dxa"/>
            <w:vAlign w:val="center"/>
          </w:tcPr>
          <w:p>
            <w:pPr>
              <w:jc w:val="center"/>
              <w:rPr>
                <w:rFonts w:eastAsia="仿宋_GB2312"/>
                <w:b/>
                <w:bCs/>
                <w:color w:val="000000"/>
                <w:szCs w:val="21"/>
              </w:rPr>
            </w:pPr>
            <w:r>
              <w:rPr>
                <w:bCs/>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5070" w:type="dxa"/>
            <w:gridSpan w:val="2"/>
            <w:vAlign w:val="center"/>
          </w:tcPr>
          <w:p>
            <w:pPr>
              <w:rPr>
                <w:rFonts w:eastAsia="仿宋_GB2312"/>
                <w:bCs/>
                <w:color w:val="000000"/>
                <w:szCs w:val="21"/>
              </w:rPr>
            </w:pPr>
            <w:r>
              <w:rPr>
                <w:color w:val="000000"/>
                <w:kern w:val="0"/>
                <w:sz w:val="18"/>
                <w:szCs w:val="18"/>
              </w:rPr>
              <w:t>SSCI</w:t>
            </w:r>
            <w:r>
              <w:rPr>
                <w:rFonts w:hAnsi="宋体"/>
                <w:color w:val="000000"/>
                <w:kern w:val="0"/>
                <w:sz w:val="18"/>
                <w:szCs w:val="18"/>
              </w:rPr>
              <w:t>期刊；</w:t>
            </w:r>
            <w:r>
              <w:rPr>
                <w:rFonts w:hAnsi="宋体"/>
                <w:color w:val="000000"/>
                <w:sz w:val="18"/>
                <w:szCs w:val="18"/>
              </w:rPr>
              <w:t>中国科学、科学通报、中国社会科学</w:t>
            </w:r>
          </w:p>
        </w:tc>
        <w:tc>
          <w:tcPr>
            <w:tcW w:w="2693" w:type="dxa"/>
            <w:vAlign w:val="center"/>
          </w:tcPr>
          <w:p>
            <w:pPr>
              <w:jc w:val="center"/>
              <w:rPr>
                <w:rFonts w:eastAsia="仿宋_GB2312"/>
                <w:bCs/>
                <w:color w:val="000000"/>
                <w:szCs w:val="21"/>
              </w:rPr>
            </w:pPr>
            <w:r>
              <w:rPr>
                <w:color w:val="00000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070" w:type="dxa"/>
            <w:gridSpan w:val="2"/>
            <w:vAlign w:val="center"/>
          </w:tcPr>
          <w:p>
            <w:pPr>
              <w:rPr>
                <w:rFonts w:eastAsia="仿宋_GB2312"/>
                <w:bCs/>
                <w:color w:val="000000"/>
                <w:szCs w:val="21"/>
              </w:rPr>
            </w:pPr>
            <w:r>
              <w:rPr>
                <w:rFonts w:hAnsi="宋体"/>
                <w:color w:val="000000"/>
                <w:kern w:val="0"/>
                <w:sz w:val="18"/>
                <w:szCs w:val="18"/>
              </w:rPr>
              <w:t>期刊上发表且被《新华文摘》全文转载论文、</w:t>
            </w:r>
            <w:r>
              <w:rPr>
                <w:color w:val="000000"/>
                <w:kern w:val="0"/>
                <w:sz w:val="18"/>
                <w:szCs w:val="18"/>
              </w:rPr>
              <w:t>A&amp;HCI</w:t>
            </w:r>
            <w:r>
              <w:rPr>
                <w:rFonts w:hAnsi="宋体"/>
                <w:color w:val="000000"/>
                <w:kern w:val="0"/>
                <w:sz w:val="18"/>
                <w:szCs w:val="18"/>
              </w:rPr>
              <w:t>期刊；</w:t>
            </w:r>
            <w:r>
              <w:rPr>
                <w:color w:val="000000"/>
                <w:kern w:val="0"/>
                <w:sz w:val="18"/>
                <w:szCs w:val="18"/>
              </w:rPr>
              <w:t>A</w:t>
            </w:r>
            <w:r>
              <w:rPr>
                <w:rFonts w:hAnsi="宋体"/>
                <w:color w:val="000000"/>
                <w:kern w:val="0"/>
                <w:sz w:val="18"/>
                <w:szCs w:val="18"/>
              </w:rPr>
              <w:t>类中文核心期刊（目录见附件一）</w:t>
            </w:r>
          </w:p>
        </w:tc>
        <w:tc>
          <w:tcPr>
            <w:tcW w:w="2693" w:type="dxa"/>
            <w:vAlign w:val="center"/>
          </w:tcPr>
          <w:p>
            <w:pPr>
              <w:jc w:val="center"/>
              <w:rPr>
                <w:rFonts w:eastAsia="仿宋_GB2312"/>
                <w:bCs/>
                <w:color w:val="000000"/>
                <w:szCs w:val="21"/>
              </w:rPr>
            </w:pPr>
            <w:r>
              <w:rPr>
                <w:color w:val="00000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0" w:type="dxa"/>
            <w:gridSpan w:val="2"/>
            <w:vAlign w:val="center"/>
          </w:tcPr>
          <w:p>
            <w:pPr>
              <w:rPr>
                <w:rFonts w:eastAsia="仿宋_GB2312"/>
                <w:bCs/>
                <w:color w:val="000000"/>
                <w:szCs w:val="21"/>
              </w:rPr>
            </w:pPr>
            <w:r>
              <w:rPr>
                <w:rFonts w:hAnsi="宋体"/>
                <w:color w:val="000000"/>
                <w:kern w:val="0"/>
                <w:sz w:val="18"/>
                <w:szCs w:val="18"/>
              </w:rPr>
              <w:t>《人民日报》、《光明日报》理论版论文；期刊上发表且被《中国社会科学文摘》转载论文</w:t>
            </w:r>
          </w:p>
        </w:tc>
        <w:tc>
          <w:tcPr>
            <w:tcW w:w="2693" w:type="dxa"/>
            <w:vAlign w:val="center"/>
          </w:tcPr>
          <w:p>
            <w:pPr>
              <w:jc w:val="center"/>
              <w:rPr>
                <w:rFonts w:eastAsia="仿宋_GB2312"/>
                <w:bCs/>
                <w:color w:val="000000"/>
                <w:szCs w:val="21"/>
              </w:rPr>
            </w:pPr>
            <w:r>
              <w:rPr>
                <w:color w:val="000000"/>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0" w:type="dxa"/>
            <w:gridSpan w:val="2"/>
            <w:vAlign w:val="center"/>
          </w:tcPr>
          <w:p>
            <w:pPr>
              <w:rPr>
                <w:rFonts w:eastAsia="仿宋_GB2312"/>
                <w:bCs/>
                <w:color w:val="000000"/>
                <w:szCs w:val="21"/>
              </w:rPr>
            </w:pPr>
            <w:r>
              <w:rPr>
                <w:color w:val="000000"/>
                <w:sz w:val="18"/>
                <w:szCs w:val="18"/>
              </w:rPr>
              <w:t>SCI</w:t>
            </w:r>
            <w:r>
              <w:rPr>
                <w:rFonts w:hAnsi="宋体"/>
                <w:color w:val="000000"/>
                <w:sz w:val="18"/>
                <w:szCs w:val="18"/>
              </w:rPr>
              <w:t>会议论文；</w:t>
            </w:r>
            <w:r>
              <w:rPr>
                <w:color w:val="000000"/>
                <w:kern w:val="0"/>
                <w:sz w:val="18"/>
                <w:szCs w:val="18"/>
              </w:rPr>
              <w:t xml:space="preserve"> EI</w:t>
            </w:r>
            <w:r>
              <w:rPr>
                <w:rFonts w:hAnsi="宋体"/>
                <w:color w:val="000000"/>
                <w:sz w:val="18"/>
                <w:szCs w:val="18"/>
              </w:rPr>
              <w:t>期刊；中文社会科学引文索引（</w:t>
            </w:r>
            <w:r>
              <w:rPr>
                <w:color w:val="000000"/>
                <w:sz w:val="18"/>
                <w:szCs w:val="18"/>
              </w:rPr>
              <w:t>CSSCI</w:t>
            </w:r>
            <w:r>
              <w:rPr>
                <w:rFonts w:hAnsi="宋体"/>
                <w:color w:val="000000"/>
                <w:sz w:val="18"/>
                <w:szCs w:val="18"/>
              </w:rPr>
              <w:t>）来源期刊；</w:t>
            </w:r>
            <w:r>
              <w:rPr>
                <w:rFonts w:hAnsi="宋体"/>
                <w:color w:val="000000"/>
                <w:kern w:val="0"/>
                <w:sz w:val="18"/>
                <w:szCs w:val="18"/>
              </w:rPr>
              <w:t>期刊上发表且</w:t>
            </w:r>
            <w:r>
              <w:rPr>
                <w:rFonts w:hAnsi="宋体"/>
                <w:color w:val="000000"/>
                <w:sz w:val="18"/>
                <w:szCs w:val="18"/>
              </w:rPr>
              <w:t>被《新华文摘》要点摘录论文</w:t>
            </w:r>
          </w:p>
        </w:tc>
        <w:tc>
          <w:tcPr>
            <w:tcW w:w="2693" w:type="dxa"/>
            <w:vAlign w:val="center"/>
          </w:tcPr>
          <w:p>
            <w:pPr>
              <w:jc w:val="center"/>
              <w:rPr>
                <w:rFonts w:eastAsia="仿宋_GB2312"/>
                <w:bCs/>
                <w:color w:val="000000"/>
                <w:szCs w:val="21"/>
              </w:rPr>
            </w:pPr>
            <w:r>
              <w:rPr>
                <w:color w:val="000000"/>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5070" w:type="dxa"/>
            <w:gridSpan w:val="2"/>
            <w:vAlign w:val="center"/>
          </w:tcPr>
          <w:p>
            <w:pPr>
              <w:spacing w:line="320" w:lineRule="exact"/>
              <w:rPr>
                <w:color w:val="000000"/>
                <w:sz w:val="18"/>
                <w:szCs w:val="18"/>
              </w:rPr>
            </w:pPr>
            <w:r>
              <w:rPr>
                <w:color w:val="000000"/>
                <w:sz w:val="18"/>
                <w:szCs w:val="18"/>
              </w:rPr>
              <w:t>SCIE</w:t>
            </w:r>
            <w:r>
              <w:rPr>
                <w:rFonts w:hAnsi="宋体"/>
                <w:color w:val="000000"/>
                <w:sz w:val="18"/>
                <w:szCs w:val="18"/>
              </w:rPr>
              <w:t>会议论文；期刊上发表，且被《人大复印资料》、《高等学校文科学术文摘》全文转载的论文</w:t>
            </w:r>
          </w:p>
        </w:tc>
        <w:tc>
          <w:tcPr>
            <w:tcW w:w="2693" w:type="dxa"/>
            <w:vAlign w:val="center"/>
          </w:tcPr>
          <w:p>
            <w:pPr>
              <w:jc w:val="center"/>
              <w:rPr>
                <w:color w:val="000000"/>
                <w:sz w:val="18"/>
                <w:szCs w:val="18"/>
              </w:rPr>
            </w:pPr>
            <w:r>
              <w:rPr>
                <w:color w:val="000000"/>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5070" w:type="dxa"/>
            <w:gridSpan w:val="2"/>
            <w:vAlign w:val="center"/>
          </w:tcPr>
          <w:p>
            <w:pPr>
              <w:spacing w:line="320" w:lineRule="exact"/>
              <w:rPr>
                <w:color w:val="000000"/>
                <w:sz w:val="18"/>
                <w:szCs w:val="18"/>
              </w:rPr>
            </w:pPr>
            <w:r>
              <w:rPr>
                <w:rFonts w:hAnsi="宋体"/>
                <w:color w:val="000000"/>
                <w:sz w:val="18"/>
                <w:szCs w:val="18"/>
              </w:rPr>
              <w:t>其他中文核心期刊</w:t>
            </w:r>
          </w:p>
        </w:tc>
        <w:tc>
          <w:tcPr>
            <w:tcW w:w="2693" w:type="dxa"/>
            <w:vAlign w:val="center"/>
          </w:tcPr>
          <w:p>
            <w:pPr>
              <w:jc w:val="center"/>
              <w:rPr>
                <w:b/>
                <w:color w:val="000000"/>
                <w:sz w:val="18"/>
                <w:szCs w:val="18"/>
              </w:rPr>
            </w:pPr>
            <w:r>
              <w:rPr>
                <w:bCs/>
                <w:color w:val="000000"/>
                <w:sz w:val="18"/>
                <w:szCs w:val="18"/>
              </w:rPr>
              <w:t>0.1</w:t>
            </w:r>
          </w:p>
        </w:tc>
      </w:tr>
    </w:tbl>
    <w:p>
      <w:pPr>
        <w:spacing w:line="560" w:lineRule="exact"/>
        <w:ind w:firstLine="562" w:firstLineChars="200"/>
        <w:rPr>
          <w:rFonts w:eastAsia="仿宋_GB2312"/>
          <w:color w:val="000000"/>
          <w:sz w:val="28"/>
          <w:szCs w:val="28"/>
        </w:rPr>
      </w:pPr>
      <w:r>
        <w:rPr>
          <w:rFonts w:eastAsia="仿宋_GB2312"/>
          <w:b/>
          <w:color w:val="000000"/>
          <w:sz w:val="28"/>
          <w:szCs w:val="28"/>
        </w:rPr>
        <w:t>第</w:t>
      </w:r>
      <w:r>
        <w:rPr>
          <w:rFonts w:hint="eastAsia" w:eastAsia="仿宋_GB2312"/>
          <w:b/>
          <w:color w:val="000000"/>
          <w:sz w:val="28"/>
          <w:szCs w:val="28"/>
        </w:rPr>
        <w:t>九</w:t>
      </w:r>
      <w:r>
        <w:rPr>
          <w:rFonts w:eastAsia="仿宋_GB2312"/>
          <w:b/>
          <w:color w:val="000000"/>
          <w:sz w:val="28"/>
          <w:szCs w:val="28"/>
        </w:rPr>
        <w:t>条</w:t>
      </w:r>
      <w:r>
        <w:rPr>
          <w:rFonts w:eastAsia="仿宋_GB2312"/>
          <w:color w:val="000000"/>
          <w:sz w:val="28"/>
          <w:szCs w:val="28"/>
        </w:rPr>
        <w:t xml:space="preserve">  学术专著</w:t>
      </w:r>
      <w:r>
        <w:rPr>
          <w:rFonts w:hint="eastAsia" w:eastAsia="仿宋_GB2312"/>
          <w:color w:val="000000"/>
          <w:sz w:val="28"/>
          <w:szCs w:val="28"/>
        </w:rPr>
        <w:t>奖励</w:t>
      </w:r>
      <w:r>
        <w:rPr>
          <w:rFonts w:eastAsia="仿宋_GB2312"/>
          <w:color w:val="000000"/>
          <w:sz w:val="28"/>
          <w:szCs w:val="28"/>
        </w:rPr>
        <w:t>本人负责15万字以上正式出版的学术专著，每部奖励1万元。专著成果应在作者简介、前言或后记等明确标注作者所在单位为</w:t>
      </w:r>
      <w:r>
        <w:rPr>
          <w:rFonts w:ascii="仿宋" w:hAnsi="仿宋" w:eastAsia="仿宋"/>
          <w:color w:val="000000"/>
          <w:sz w:val="28"/>
          <w:szCs w:val="28"/>
        </w:rPr>
        <w:t>“常州工学院”。</w:t>
      </w:r>
      <w:r>
        <w:rPr>
          <w:rFonts w:eastAsia="仿宋_GB2312"/>
          <w:color w:val="000000"/>
          <w:sz w:val="28"/>
          <w:szCs w:val="28"/>
        </w:rPr>
        <w:t>对于我校教师与其他单位的合著，我校教师须为第一作者</w:t>
      </w:r>
      <w:r>
        <w:rPr>
          <w:rFonts w:hint="eastAsia" w:eastAsia="仿宋_GB2312"/>
          <w:color w:val="000000"/>
          <w:sz w:val="28"/>
          <w:szCs w:val="28"/>
        </w:rPr>
        <w:t>，</w:t>
      </w:r>
      <w:r>
        <w:rPr>
          <w:rFonts w:eastAsia="仿宋_GB2312"/>
          <w:color w:val="000000"/>
          <w:sz w:val="28"/>
          <w:szCs w:val="28"/>
        </w:rPr>
        <w:t>且其负责撰写</w:t>
      </w:r>
      <w:r>
        <w:rPr>
          <w:rFonts w:hint="eastAsia" w:eastAsia="仿宋_GB2312"/>
          <w:color w:val="000000"/>
          <w:sz w:val="28"/>
          <w:szCs w:val="28"/>
        </w:rPr>
        <w:t>15</w:t>
      </w:r>
      <w:r>
        <w:rPr>
          <w:rFonts w:eastAsia="仿宋_GB2312"/>
          <w:color w:val="000000"/>
          <w:sz w:val="28"/>
          <w:szCs w:val="28"/>
        </w:rPr>
        <w:t>万字以上；对于全部由我校教师完成的著作，总字数应在15万字以上。</w:t>
      </w:r>
    </w:p>
    <w:p>
      <w:pPr>
        <w:spacing w:line="560" w:lineRule="exact"/>
        <w:ind w:firstLine="562" w:firstLineChars="200"/>
        <w:rPr>
          <w:rFonts w:eastAsia="仿宋_GB2312"/>
          <w:color w:val="000000"/>
          <w:sz w:val="28"/>
          <w:szCs w:val="28"/>
        </w:rPr>
      </w:pPr>
      <w:r>
        <w:rPr>
          <w:rFonts w:eastAsia="仿宋_GB2312"/>
          <w:b/>
          <w:color w:val="000000"/>
          <w:sz w:val="28"/>
          <w:szCs w:val="28"/>
        </w:rPr>
        <w:t>第十条</w:t>
      </w:r>
      <w:r>
        <w:rPr>
          <w:rFonts w:eastAsia="仿宋_GB2312"/>
          <w:color w:val="000000"/>
          <w:sz w:val="28"/>
          <w:szCs w:val="28"/>
        </w:rPr>
        <w:t xml:space="preserve">  专利奖励只奖励我校作为第一权利人的授权发明专利，每件发明专利奖励0.7万元。</w:t>
      </w:r>
    </w:p>
    <w:p>
      <w:pPr>
        <w:spacing w:line="560" w:lineRule="exact"/>
        <w:ind w:firstLine="560" w:firstLineChars="200"/>
        <w:rPr>
          <w:rFonts w:eastAsia="仿宋_GB2312"/>
          <w:color w:val="000000"/>
          <w:sz w:val="28"/>
          <w:szCs w:val="28"/>
        </w:rPr>
      </w:pPr>
      <w:r>
        <w:rPr>
          <w:rFonts w:eastAsia="仿宋_GB2312"/>
          <w:color w:val="000000"/>
          <w:sz w:val="28"/>
          <w:szCs w:val="28"/>
        </w:rPr>
        <w:t>若发明人（或设计人）自己联系专利申请代理机构或直接向国家知识产权局进行专利申请的，且专利申请费用（含申请代理费、审查费、维持费、登记费等）均由申请人自己负责的，则每件授权发明专利奖励标准为0.9万元。对于发明人同一天向国家知识产权局递交申请的发明专利（发明内容相近），如果申请总数量超过2件，专利授权之后，最多只奖励2件。</w:t>
      </w:r>
    </w:p>
    <w:p>
      <w:pPr>
        <w:spacing w:line="560" w:lineRule="exact"/>
        <w:ind w:firstLine="700" w:firstLineChars="250"/>
        <w:rPr>
          <w:rFonts w:eastAsia="仿宋_GB2312"/>
          <w:color w:val="000000"/>
          <w:sz w:val="28"/>
          <w:szCs w:val="28"/>
        </w:rPr>
      </w:pPr>
      <w:r>
        <w:rPr>
          <w:rFonts w:eastAsia="仿宋_GB2312"/>
          <w:color w:val="000000"/>
          <w:sz w:val="28"/>
          <w:szCs w:val="28"/>
        </w:rPr>
        <w:t>对于向其他企事业单位成功转让的专利或其他科研成果，按照转让收入（转让合同需在</w:t>
      </w:r>
      <w:r>
        <w:rPr>
          <w:rFonts w:hint="eastAsia" w:eastAsia="仿宋_GB2312"/>
          <w:color w:val="000000"/>
          <w:sz w:val="28"/>
          <w:szCs w:val="28"/>
        </w:rPr>
        <w:t>产学研办公室</w:t>
      </w:r>
      <w:r>
        <w:rPr>
          <w:rFonts w:eastAsia="仿宋_GB2312"/>
          <w:color w:val="000000"/>
          <w:sz w:val="28"/>
          <w:szCs w:val="28"/>
        </w:rPr>
        <w:t>备案，并提供到账证明）的相应额度进行分档奖励。转让奖励标准如下：</w:t>
      </w:r>
    </w:p>
    <w:tbl>
      <w:tblPr>
        <w:tblStyle w:val="5"/>
        <w:tblW w:w="7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130" w:type="dxa"/>
            <w:vAlign w:val="center"/>
          </w:tcPr>
          <w:p>
            <w:pPr>
              <w:tabs>
                <w:tab w:val="left" w:pos="1125"/>
              </w:tabs>
              <w:spacing w:line="320" w:lineRule="exact"/>
              <w:jc w:val="center"/>
              <w:rPr>
                <w:color w:val="000000"/>
                <w:szCs w:val="21"/>
              </w:rPr>
            </w:pPr>
            <w:r>
              <w:rPr>
                <w:rFonts w:hint="eastAsia" w:hAnsi="宋体"/>
                <w:color w:val="000000"/>
                <w:szCs w:val="21"/>
              </w:rPr>
              <w:t>转让收入（</w:t>
            </w:r>
            <w:r>
              <w:rPr>
                <w:rFonts w:hAnsi="宋体"/>
                <w:color w:val="000000"/>
                <w:szCs w:val="21"/>
              </w:rPr>
              <w:t>万元</w:t>
            </w:r>
            <w:r>
              <w:rPr>
                <w:rFonts w:hint="eastAsia" w:hAnsi="宋体"/>
                <w:color w:val="000000"/>
                <w:szCs w:val="21"/>
              </w:rPr>
              <w:t>）</w:t>
            </w:r>
          </w:p>
        </w:tc>
        <w:tc>
          <w:tcPr>
            <w:tcW w:w="3080" w:type="dxa"/>
            <w:vAlign w:val="center"/>
          </w:tcPr>
          <w:p>
            <w:pPr>
              <w:tabs>
                <w:tab w:val="left" w:pos="1125"/>
              </w:tabs>
              <w:spacing w:line="320" w:lineRule="exact"/>
              <w:jc w:val="center"/>
              <w:rPr>
                <w:rFonts w:hAnsi="宋体"/>
                <w:color w:val="000000"/>
                <w:szCs w:val="21"/>
              </w:rPr>
            </w:pPr>
            <w:r>
              <w:rPr>
                <w:rFonts w:hint="eastAsia" w:hAnsi="宋体"/>
                <w:color w:val="000000"/>
                <w:szCs w:val="21"/>
              </w:rPr>
              <w:t>奖励金额（元/项）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130" w:type="dxa"/>
            <w:vAlign w:val="center"/>
          </w:tcPr>
          <w:p>
            <w:pPr>
              <w:tabs>
                <w:tab w:val="left" w:pos="1125"/>
              </w:tabs>
              <w:spacing w:line="320" w:lineRule="exact"/>
              <w:jc w:val="center"/>
              <w:rPr>
                <w:rFonts w:hint="eastAsia"/>
                <w:bCs/>
                <w:color w:val="000000"/>
                <w:szCs w:val="21"/>
              </w:rPr>
            </w:pPr>
            <w:r>
              <w:rPr>
                <w:bCs/>
                <w:color w:val="000000"/>
                <w:szCs w:val="21"/>
              </w:rPr>
              <w:t>≥</w:t>
            </w:r>
            <w:r>
              <w:rPr>
                <w:rFonts w:hint="eastAsia"/>
                <w:bCs/>
                <w:color w:val="000000"/>
                <w:szCs w:val="21"/>
              </w:rPr>
              <w:t>3且&lt;5</w:t>
            </w:r>
          </w:p>
        </w:tc>
        <w:tc>
          <w:tcPr>
            <w:tcW w:w="3080" w:type="dxa"/>
            <w:vAlign w:val="center"/>
          </w:tcPr>
          <w:p>
            <w:pPr>
              <w:tabs>
                <w:tab w:val="left" w:pos="1125"/>
              </w:tabs>
              <w:spacing w:line="320" w:lineRule="exact"/>
              <w:jc w:val="center"/>
              <w:rPr>
                <w:rFonts w:hint="eastAsia"/>
                <w:bCs/>
                <w:color w:val="000000"/>
                <w:szCs w:val="21"/>
              </w:rPr>
            </w:pPr>
            <w:r>
              <w:rPr>
                <w:rFonts w:hint="eastAsia"/>
                <w:bCs/>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130" w:type="dxa"/>
            <w:vAlign w:val="center"/>
          </w:tcPr>
          <w:p>
            <w:pPr>
              <w:spacing w:line="320" w:lineRule="exact"/>
              <w:jc w:val="center"/>
              <w:rPr>
                <w:rFonts w:hint="eastAsia"/>
                <w:bCs/>
                <w:color w:val="000000"/>
                <w:szCs w:val="21"/>
              </w:rPr>
            </w:pPr>
            <w:r>
              <w:rPr>
                <w:bCs/>
                <w:color w:val="000000"/>
                <w:szCs w:val="21"/>
              </w:rPr>
              <w:t>≥</w:t>
            </w:r>
            <w:r>
              <w:rPr>
                <w:rFonts w:hint="eastAsia"/>
                <w:bCs/>
                <w:color w:val="000000"/>
                <w:szCs w:val="21"/>
              </w:rPr>
              <w:t>5且&lt;10</w:t>
            </w:r>
          </w:p>
        </w:tc>
        <w:tc>
          <w:tcPr>
            <w:tcW w:w="3080" w:type="dxa"/>
            <w:vAlign w:val="center"/>
          </w:tcPr>
          <w:p>
            <w:pPr>
              <w:tabs>
                <w:tab w:val="left" w:pos="1125"/>
              </w:tabs>
              <w:spacing w:line="320" w:lineRule="exact"/>
              <w:jc w:val="center"/>
              <w:rPr>
                <w:rFonts w:hint="eastAsia"/>
                <w:bCs/>
                <w:color w:val="000000"/>
                <w:szCs w:val="21"/>
              </w:rPr>
            </w:pPr>
            <w:r>
              <w:rPr>
                <w:rFonts w:hint="eastAsia"/>
                <w:bCs/>
                <w:color w:val="00000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130" w:type="dxa"/>
            <w:vAlign w:val="center"/>
          </w:tcPr>
          <w:p>
            <w:pPr>
              <w:spacing w:line="320" w:lineRule="exact"/>
              <w:jc w:val="center"/>
              <w:rPr>
                <w:rFonts w:hint="eastAsia"/>
                <w:bCs/>
                <w:color w:val="000000"/>
                <w:szCs w:val="21"/>
              </w:rPr>
            </w:pPr>
            <w:r>
              <w:rPr>
                <w:bCs/>
                <w:color w:val="000000"/>
                <w:szCs w:val="21"/>
              </w:rPr>
              <w:t>≥</w:t>
            </w:r>
            <w:r>
              <w:rPr>
                <w:rFonts w:hint="eastAsia"/>
                <w:bCs/>
                <w:color w:val="000000"/>
                <w:szCs w:val="21"/>
              </w:rPr>
              <w:t>10且&lt;15</w:t>
            </w:r>
          </w:p>
        </w:tc>
        <w:tc>
          <w:tcPr>
            <w:tcW w:w="3080" w:type="dxa"/>
            <w:vAlign w:val="center"/>
          </w:tcPr>
          <w:p>
            <w:pPr>
              <w:tabs>
                <w:tab w:val="left" w:pos="1125"/>
              </w:tabs>
              <w:spacing w:line="320" w:lineRule="exact"/>
              <w:jc w:val="center"/>
              <w:rPr>
                <w:rFonts w:hint="eastAsia"/>
                <w:bCs/>
                <w:color w:val="000000"/>
                <w:szCs w:val="21"/>
              </w:rPr>
            </w:pPr>
            <w:r>
              <w:rPr>
                <w:rFonts w:hint="eastAsia"/>
                <w:bCs/>
                <w:color w:val="00000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130" w:type="dxa"/>
            <w:vAlign w:val="center"/>
          </w:tcPr>
          <w:p>
            <w:pPr>
              <w:tabs>
                <w:tab w:val="left" w:pos="1125"/>
              </w:tabs>
              <w:spacing w:line="320" w:lineRule="exact"/>
              <w:jc w:val="center"/>
              <w:rPr>
                <w:rFonts w:hint="eastAsia"/>
                <w:bCs/>
                <w:color w:val="000000"/>
                <w:szCs w:val="21"/>
              </w:rPr>
            </w:pPr>
            <w:r>
              <w:rPr>
                <w:bCs/>
                <w:color w:val="000000"/>
                <w:szCs w:val="21"/>
              </w:rPr>
              <w:t>≥</w:t>
            </w:r>
            <w:r>
              <w:rPr>
                <w:rFonts w:hint="eastAsia"/>
                <w:bCs/>
                <w:color w:val="000000"/>
                <w:szCs w:val="21"/>
              </w:rPr>
              <w:t>15</w:t>
            </w:r>
          </w:p>
        </w:tc>
        <w:tc>
          <w:tcPr>
            <w:tcW w:w="3080" w:type="dxa"/>
            <w:vAlign w:val="center"/>
          </w:tcPr>
          <w:p>
            <w:pPr>
              <w:tabs>
                <w:tab w:val="left" w:pos="1125"/>
              </w:tabs>
              <w:spacing w:line="320" w:lineRule="exact"/>
              <w:jc w:val="center"/>
              <w:rPr>
                <w:rFonts w:hint="eastAsia"/>
                <w:bCs/>
                <w:color w:val="000000"/>
                <w:szCs w:val="21"/>
              </w:rPr>
            </w:pPr>
            <w:r>
              <w:rPr>
                <w:rFonts w:hint="eastAsia"/>
                <w:bCs/>
                <w:color w:val="000000"/>
                <w:szCs w:val="21"/>
              </w:rPr>
              <w:t>10000</w:t>
            </w:r>
          </w:p>
        </w:tc>
      </w:tr>
    </w:tbl>
    <w:p>
      <w:pPr>
        <w:autoSpaceDE w:val="0"/>
        <w:autoSpaceDN w:val="0"/>
        <w:adjustRightInd w:val="0"/>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对于高质量授权发明专利给予特别奖励。其中，对获得“中国专利金奖”、“中国专利优秀奖”的专利，分别给</w:t>
      </w:r>
      <w:r>
        <w:rPr>
          <w:rFonts w:eastAsia="仿宋_GB2312"/>
          <w:color w:val="000000"/>
          <w:sz w:val="28"/>
          <w:szCs w:val="28"/>
        </w:rPr>
        <w:t>予10万元、2万元奖</w:t>
      </w:r>
      <w:r>
        <w:rPr>
          <w:rFonts w:hint="eastAsia" w:ascii="仿宋_GB2312" w:hAnsi="仿宋" w:eastAsia="仿宋_GB2312"/>
          <w:color w:val="000000"/>
          <w:sz w:val="28"/>
          <w:szCs w:val="28"/>
        </w:rPr>
        <w:t>励。获得“江苏省专利发明人奖”、“优秀专利项目奖”的专利，分别给予</w:t>
      </w:r>
      <w:r>
        <w:rPr>
          <w:rFonts w:eastAsia="仿宋_GB2312"/>
          <w:color w:val="000000"/>
          <w:sz w:val="28"/>
          <w:szCs w:val="28"/>
        </w:rPr>
        <w:t>2万元和1.5万元的</w:t>
      </w:r>
      <w:r>
        <w:rPr>
          <w:rFonts w:hint="eastAsia" w:ascii="仿宋_GB2312" w:hAnsi="仿宋" w:eastAsia="仿宋_GB2312"/>
          <w:color w:val="000000"/>
          <w:sz w:val="28"/>
          <w:szCs w:val="28"/>
        </w:rPr>
        <w:t>奖励。</w:t>
      </w:r>
    </w:p>
    <w:p>
      <w:pPr>
        <w:spacing w:line="560" w:lineRule="exact"/>
        <w:ind w:left="141" w:leftChars="67" w:firstLine="422" w:firstLineChars="150"/>
        <w:rPr>
          <w:rFonts w:hint="eastAsia" w:ascii="黑体"/>
          <w:color w:val="000000"/>
          <w:sz w:val="30"/>
          <w:szCs w:val="30"/>
        </w:rPr>
      </w:pPr>
      <w:r>
        <w:rPr>
          <w:rFonts w:hint="eastAsia" w:eastAsia="仿宋_GB2312"/>
          <w:b/>
          <w:color w:val="000000"/>
          <w:sz w:val="28"/>
          <w:szCs w:val="28"/>
        </w:rPr>
        <w:t>第十一条</w:t>
      </w:r>
      <w:r>
        <w:rPr>
          <w:rFonts w:hint="eastAsia" w:eastAsia="仿宋_GB2312"/>
          <w:color w:val="000000"/>
          <w:sz w:val="28"/>
          <w:szCs w:val="28"/>
        </w:rPr>
        <w:t xml:space="preserve">  获奖科研成果奖励是对我校教职员工获得各级政府组织的科研成果奖励（不包括学术论文奖、著作类奖）的再奖励。我校作为</w:t>
      </w:r>
      <w:r>
        <w:rPr>
          <w:rFonts w:eastAsia="仿宋_GB2312"/>
          <w:color w:val="000000"/>
          <w:sz w:val="28"/>
          <w:szCs w:val="28"/>
        </w:rPr>
        <w:t>第一完成</w:t>
      </w:r>
      <w:r>
        <w:rPr>
          <w:rFonts w:hint="eastAsia" w:eastAsia="仿宋_GB2312"/>
          <w:color w:val="000000"/>
          <w:sz w:val="28"/>
          <w:szCs w:val="28"/>
        </w:rPr>
        <w:t>单位，且</w:t>
      </w:r>
      <w:r>
        <w:rPr>
          <w:rFonts w:eastAsia="仿宋_GB2312"/>
          <w:color w:val="000000"/>
          <w:sz w:val="28"/>
          <w:szCs w:val="28"/>
        </w:rPr>
        <w:t>我校教</w:t>
      </w:r>
      <w:r>
        <w:rPr>
          <w:rFonts w:hint="eastAsia" w:eastAsia="仿宋_GB2312"/>
          <w:color w:val="000000"/>
          <w:sz w:val="28"/>
          <w:szCs w:val="28"/>
        </w:rPr>
        <w:t>师为第一完成人所</w:t>
      </w:r>
      <w:r>
        <w:rPr>
          <w:rFonts w:eastAsia="仿宋_GB2312"/>
          <w:color w:val="000000"/>
          <w:sz w:val="28"/>
          <w:szCs w:val="28"/>
        </w:rPr>
        <w:t>取得的获奖科研成果</w:t>
      </w:r>
      <w:r>
        <w:rPr>
          <w:rFonts w:hint="eastAsia" w:eastAsia="仿宋_GB2312"/>
          <w:color w:val="000000"/>
          <w:sz w:val="28"/>
          <w:szCs w:val="28"/>
        </w:rPr>
        <w:t>奖励范围和标准如下：</w:t>
      </w:r>
    </w:p>
    <w:tbl>
      <w:tblPr>
        <w:tblStyle w:val="5"/>
        <w:tblW w:w="8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1080"/>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5600" w:type="dxa"/>
            <w:gridSpan w:val="2"/>
            <w:vAlign w:val="center"/>
          </w:tcPr>
          <w:p>
            <w:pPr>
              <w:tabs>
                <w:tab w:val="left" w:pos="720"/>
              </w:tabs>
              <w:spacing w:line="520" w:lineRule="exact"/>
              <w:jc w:val="center"/>
              <w:rPr>
                <w:rFonts w:hint="eastAsia" w:ascii="宋体" w:hAnsi="宋体" w:cs="宋体"/>
                <w:color w:val="000000"/>
                <w:szCs w:val="21"/>
              </w:rPr>
            </w:pPr>
            <w:r>
              <w:rPr>
                <w:rFonts w:hint="eastAsia" w:ascii="宋体" w:hAnsi="宋体" w:cs="宋体"/>
                <w:color w:val="000000"/>
                <w:szCs w:val="21"/>
              </w:rPr>
              <w:t>获奖类别和等级</w:t>
            </w:r>
          </w:p>
        </w:tc>
        <w:tc>
          <w:tcPr>
            <w:tcW w:w="2745" w:type="dxa"/>
            <w:vAlign w:val="center"/>
          </w:tcPr>
          <w:p>
            <w:pPr>
              <w:tabs>
                <w:tab w:val="left" w:pos="720"/>
              </w:tabs>
              <w:spacing w:line="520" w:lineRule="exact"/>
              <w:jc w:val="center"/>
              <w:rPr>
                <w:rFonts w:hint="eastAsia" w:ascii="宋体" w:hAnsi="宋体" w:cs="宋体"/>
                <w:color w:val="000000"/>
                <w:szCs w:val="21"/>
              </w:rPr>
            </w:pPr>
            <w:r>
              <w:rPr>
                <w:rFonts w:hint="eastAsia" w:ascii="宋体" w:hAnsi="宋体" w:cs="宋体"/>
                <w:color w:val="000000"/>
                <w:szCs w:val="21"/>
              </w:rPr>
              <w:t>奖励金额（万元/项）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4520" w:type="dxa"/>
            <w:vMerge w:val="restart"/>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国家级自然科学奖、技术发明奖、科技进步奖</w:t>
            </w: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特等奖</w:t>
            </w:r>
          </w:p>
        </w:tc>
        <w:tc>
          <w:tcPr>
            <w:tcW w:w="2745" w:type="dxa"/>
            <w:vAlign w:val="center"/>
          </w:tcPr>
          <w:p>
            <w:pPr>
              <w:tabs>
                <w:tab w:val="left" w:pos="720"/>
              </w:tabs>
              <w:spacing w:line="520" w:lineRule="exact"/>
              <w:jc w:val="center"/>
              <w:rPr>
                <w:rFonts w:eastAsia="仿宋_GB2312"/>
                <w:color w:val="000000"/>
                <w:szCs w:val="21"/>
              </w:rPr>
            </w:pPr>
            <w:r>
              <w:rPr>
                <w:rFonts w:hint="eastAsia" w:eastAsia="仿宋_GB2312"/>
                <w:color w:val="000000"/>
                <w:szCs w:val="21"/>
              </w:rPr>
              <w:t>20</w:t>
            </w:r>
            <w:r>
              <w:rPr>
                <w:rFonts w:eastAsia="仿宋_GB2312"/>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4520" w:type="dxa"/>
            <w:vMerge w:val="continue"/>
            <w:vAlign w:val="top"/>
          </w:tcPr>
          <w:p>
            <w:pPr>
              <w:rPr>
                <w:rFonts w:hint="eastAsia" w:ascii="宋体" w:hAnsi="宋体" w:cs="宋体"/>
                <w:bCs/>
                <w:color w:val="000000"/>
                <w:szCs w:val="21"/>
              </w:rPr>
            </w:pP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一等奖</w:t>
            </w:r>
          </w:p>
        </w:tc>
        <w:tc>
          <w:tcPr>
            <w:tcW w:w="2745" w:type="dxa"/>
            <w:vAlign w:val="center"/>
          </w:tcPr>
          <w:p>
            <w:pPr>
              <w:tabs>
                <w:tab w:val="left" w:pos="720"/>
              </w:tabs>
              <w:spacing w:line="520" w:lineRule="exact"/>
              <w:jc w:val="center"/>
              <w:rPr>
                <w:rFonts w:eastAsia="仿宋_GB2312"/>
                <w:color w:val="000000"/>
                <w:szCs w:val="21"/>
              </w:rPr>
            </w:pPr>
            <w:r>
              <w:rPr>
                <w:rFonts w:hint="eastAsia" w:eastAsia="仿宋_GB2312"/>
                <w:color w:val="000000"/>
                <w:szCs w:val="21"/>
              </w:rPr>
              <w:t>8</w:t>
            </w:r>
            <w:r>
              <w:rPr>
                <w:rFonts w:eastAsia="仿宋_GB2312"/>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4520" w:type="dxa"/>
            <w:vMerge w:val="continue"/>
            <w:vAlign w:val="top"/>
          </w:tcPr>
          <w:p>
            <w:pPr>
              <w:rPr>
                <w:rFonts w:hint="eastAsia" w:ascii="宋体" w:hAnsi="宋体" w:cs="宋体"/>
                <w:bCs/>
                <w:color w:val="000000"/>
                <w:szCs w:val="21"/>
              </w:rPr>
            </w:pP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二等奖</w:t>
            </w:r>
          </w:p>
        </w:tc>
        <w:tc>
          <w:tcPr>
            <w:tcW w:w="2745" w:type="dxa"/>
            <w:vAlign w:val="center"/>
          </w:tcPr>
          <w:p>
            <w:pPr>
              <w:tabs>
                <w:tab w:val="left" w:pos="720"/>
              </w:tabs>
              <w:spacing w:line="520" w:lineRule="exact"/>
              <w:jc w:val="center"/>
              <w:rPr>
                <w:rFonts w:eastAsia="仿宋_GB2312"/>
                <w:color w:val="000000"/>
                <w:szCs w:val="21"/>
              </w:rPr>
            </w:pPr>
            <w:r>
              <w:rPr>
                <w:rFonts w:hint="eastAsia" w:eastAsia="仿宋_GB2312"/>
                <w:color w:val="000000"/>
                <w:szCs w:val="21"/>
              </w:rPr>
              <w:t>5</w:t>
            </w:r>
            <w:r>
              <w:rPr>
                <w:rFonts w:eastAsia="仿宋_GB2312"/>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520" w:type="dxa"/>
            <w:vMerge w:val="continue"/>
            <w:vAlign w:val="top"/>
          </w:tcPr>
          <w:p>
            <w:pPr>
              <w:rPr>
                <w:rFonts w:hint="eastAsia" w:ascii="宋体" w:hAnsi="宋体" w:cs="宋体"/>
                <w:bCs/>
                <w:color w:val="000000"/>
                <w:szCs w:val="21"/>
              </w:rPr>
            </w:pP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三等奖</w:t>
            </w:r>
          </w:p>
        </w:tc>
        <w:tc>
          <w:tcPr>
            <w:tcW w:w="2745" w:type="dxa"/>
            <w:vAlign w:val="center"/>
          </w:tcPr>
          <w:p>
            <w:pPr>
              <w:tabs>
                <w:tab w:val="left" w:pos="720"/>
              </w:tabs>
              <w:spacing w:line="520" w:lineRule="exact"/>
              <w:jc w:val="center"/>
              <w:rPr>
                <w:rFonts w:hint="eastAsia" w:eastAsia="仿宋_GB2312"/>
                <w:color w:val="000000"/>
                <w:szCs w:val="21"/>
              </w:rPr>
            </w:pPr>
            <w:r>
              <w:rPr>
                <w:rFonts w:hint="eastAsia" w:eastAsia="仿宋_GB2312"/>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520" w:type="dxa"/>
            <w:vMerge w:val="restart"/>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中国高等学校人文社会科学优秀成果奖</w:t>
            </w: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一等奖</w:t>
            </w:r>
          </w:p>
        </w:tc>
        <w:tc>
          <w:tcPr>
            <w:tcW w:w="2745" w:type="dxa"/>
            <w:vAlign w:val="center"/>
          </w:tcPr>
          <w:p>
            <w:pPr>
              <w:tabs>
                <w:tab w:val="left" w:pos="720"/>
              </w:tabs>
              <w:spacing w:line="520" w:lineRule="exact"/>
              <w:jc w:val="center"/>
              <w:rPr>
                <w:rFonts w:hint="eastAsia" w:eastAsia="仿宋_GB2312"/>
                <w:color w:val="000000"/>
                <w:szCs w:val="21"/>
              </w:rPr>
            </w:pPr>
            <w:r>
              <w:rPr>
                <w:rFonts w:hint="eastAsia" w:eastAsia="仿宋_GB2312"/>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520" w:type="dxa"/>
            <w:vMerge w:val="continue"/>
            <w:vAlign w:val="top"/>
          </w:tcPr>
          <w:p>
            <w:pPr>
              <w:rPr>
                <w:rFonts w:hint="eastAsia" w:ascii="宋体" w:hAnsi="宋体" w:cs="宋体"/>
                <w:bCs/>
                <w:color w:val="000000"/>
                <w:szCs w:val="21"/>
              </w:rPr>
            </w:pP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二等奖</w:t>
            </w:r>
          </w:p>
        </w:tc>
        <w:tc>
          <w:tcPr>
            <w:tcW w:w="2745" w:type="dxa"/>
            <w:vAlign w:val="center"/>
          </w:tcPr>
          <w:p>
            <w:pPr>
              <w:tabs>
                <w:tab w:val="left" w:pos="720"/>
              </w:tabs>
              <w:spacing w:line="520" w:lineRule="exact"/>
              <w:jc w:val="center"/>
              <w:rPr>
                <w:rFonts w:hint="eastAsia" w:eastAsia="仿宋_GB2312"/>
                <w:color w:val="000000"/>
                <w:szCs w:val="21"/>
              </w:rPr>
            </w:pPr>
            <w:r>
              <w:rPr>
                <w:rFonts w:hint="eastAsia" w:eastAsia="仿宋_GB2312"/>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520" w:type="dxa"/>
            <w:vMerge w:val="continue"/>
            <w:vAlign w:val="top"/>
          </w:tcPr>
          <w:p>
            <w:pPr>
              <w:rPr>
                <w:rFonts w:hint="eastAsia" w:ascii="宋体" w:hAnsi="宋体" w:cs="宋体"/>
                <w:bCs/>
                <w:color w:val="000000"/>
                <w:szCs w:val="21"/>
              </w:rPr>
            </w:pP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三等奖</w:t>
            </w:r>
          </w:p>
        </w:tc>
        <w:tc>
          <w:tcPr>
            <w:tcW w:w="2745" w:type="dxa"/>
            <w:vAlign w:val="center"/>
          </w:tcPr>
          <w:p>
            <w:pPr>
              <w:tabs>
                <w:tab w:val="left" w:pos="720"/>
              </w:tabs>
              <w:spacing w:line="520" w:lineRule="exact"/>
              <w:jc w:val="center"/>
              <w:rPr>
                <w:rFonts w:hint="eastAsia" w:eastAsia="仿宋_GB2312"/>
                <w:color w:val="000000"/>
                <w:szCs w:val="21"/>
              </w:rPr>
            </w:pPr>
            <w:r>
              <w:rPr>
                <w:rFonts w:hint="eastAsia" w:eastAsia="仿宋_GB2312"/>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4520" w:type="dxa"/>
            <w:vMerge w:val="restart"/>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省部级科研成果奖</w:t>
            </w: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一等奖</w:t>
            </w:r>
          </w:p>
        </w:tc>
        <w:tc>
          <w:tcPr>
            <w:tcW w:w="2745" w:type="dxa"/>
            <w:vAlign w:val="center"/>
          </w:tcPr>
          <w:p>
            <w:pPr>
              <w:tabs>
                <w:tab w:val="left" w:pos="720"/>
              </w:tabs>
              <w:spacing w:line="520" w:lineRule="exact"/>
              <w:jc w:val="center"/>
              <w:rPr>
                <w:rFonts w:hint="eastAsia" w:eastAsia="仿宋_GB2312"/>
                <w:color w:val="000000"/>
                <w:szCs w:val="21"/>
              </w:rPr>
            </w:pPr>
            <w:r>
              <w:rPr>
                <w:rFonts w:hint="eastAsia" w:eastAsia="仿宋_GB2312"/>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4520" w:type="dxa"/>
            <w:vMerge w:val="continue"/>
            <w:vAlign w:val="top"/>
          </w:tcPr>
          <w:p>
            <w:pPr>
              <w:tabs>
                <w:tab w:val="left" w:pos="1125"/>
              </w:tabs>
              <w:spacing w:line="360" w:lineRule="exact"/>
              <w:rPr>
                <w:rFonts w:hint="eastAsia" w:ascii="宋体" w:hAnsi="宋体" w:cs="宋体"/>
                <w:bCs/>
                <w:color w:val="000000"/>
                <w:szCs w:val="21"/>
              </w:rPr>
            </w:pP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二等奖</w:t>
            </w:r>
          </w:p>
        </w:tc>
        <w:tc>
          <w:tcPr>
            <w:tcW w:w="2745" w:type="dxa"/>
            <w:vAlign w:val="center"/>
          </w:tcPr>
          <w:p>
            <w:pPr>
              <w:tabs>
                <w:tab w:val="left" w:pos="720"/>
              </w:tabs>
              <w:spacing w:line="520" w:lineRule="exact"/>
              <w:jc w:val="center"/>
              <w:rPr>
                <w:rFonts w:hint="eastAsia" w:eastAsia="仿宋_GB2312"/>
                <w:color w:val="000000"/>
                <w:szCs w:val="21"/>
              </w:rPr>
            </w:pPr>
            <w:r>
              <w:rPr>
                <w:rFonts w:hint="eastAsia" w:eastAsia="仿宋_GB2312"/>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520" w:type="dxa"/>
            <w:vMerge w:val="continue"/>
            <w:vAlign w:val="top"/>
          </w:tcPr>
          <w:p>
            <w:pPr>
              <w:tabs>
                <w:tab w:val="left" w:pos="1125"/>
              </w:tabs>
              <w:spacing w:line="360" w:lineRule="exact"/>
              <w:rPr>
                <w:rFonts w:hint="eastAsia" w:ascii="宋体" w:hAnsi="宋体" w:cs="宋体"/>
                <w:bCs/>
                <w:color w:val="000000"/>
                <w:szCs w:val="21"/>
              </w:rPr>
            </w:pP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三等奖</w:t>
            </w:r>
          </w:p>
        </w:tc>
        <w:tc>
          <w:tcPr>
            <w:tcW w:w="2745" w:type="dxa"/>
            <w:vAlign w:val="center"/>
          </w:tcPr>
          <w:p>
            <w:pPr>
              <w:tabs>
                <w:tab w:val="left" w:pos="720"/>
              </w:tabs>
              <w:spacing w:line="520" w:lineRule="exact"/>
              <w:jc w:val="center"/>
              <w:rPr>
                <w:rFonts w:eastAsia="仿宋_GB2312"/>
                <w:color w:val="000000"/>
                <w:szCs w:val="21"/>
              </w:rPr>
            </w:pPr>
            <w:r>
              <w:rPr>
                <w:rFonts w:hint="eastAsia" w:eastAsia="仿宋_GB2312"/>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4520" w:type="dxa"/>
            <w:vMerge w:val="restart"/>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市厅级科研成果奖</w:t>
            </w: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一等奖</w:t>
            </w:r>
          </w:p>
        </w:tc>
        <w:tc>
          <w:tcPr>
            <w:tcW w:w="2745" w:type="dxa"/>
            <w:vAlign w:val="center"/>
          </w:tcPr>
          <w:p>
            <w:pPr>
              <w:tabs>
                <w:tab w:val="left" w:pos="720"/>
              </w:tabs>
              <w:spacing w:line="520" w:lineRule="exact"/>
              <w:jc w:val="center"/>
              <w:rPr>
                <w:rFonts w:eastAsia="仿宋_GB2312"/>
                <w:color w:val="000000"/>
                <w:szCs w:val="21"/>
              </w:rPr>
            </w:pPr>
            <w:r>
              <w:rPr>
                <w:rFonts w:hint="eastAsia" w:eastAsia="仿宋_GB2312"/>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520" w:type="dxa"/>
            <w:vMerge w:val="continue"/>
            <w:vAlign w:val="top"/>
          </w:tcPr>
          <w:p>
            <w:pPr>
              <w:tabs>
                <w:tab w:val="left" w:pos="1125"/>
              </w:tabs>
              <w:spacing w:line="360" w:lineRule="exact"/>
              <w:rPr>
                <w:rFonts w:hint="eastAsia" w:ascii="宋体" w:hAnsi="宋体" w:cs="宋体"/>
                <w:bCs/>
                <w:color w:val="000000"/>
                <w:szCs w:val="21"/>
              </w:rPr>
            </w:pP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二等奖</w:t>
            </w:r>
          </w:p>
        </w:tc>
        <w:tc>
          <w:tcPr>
            <w:tcW w:w="2745" w:type="dxa"/>
            <w:vAlign w:val="center"/>
          </w:tcPr>
          <w:p>
            <w:pPr>
              <w:tabs>
                <w:tab w:val="left" w:pos="720"/>
              </w:tabs>
              <w:spacing w:line="520" w:lineRule="exact"/>
              <w:jc w:val="center"/>
              <w:rPr>
                <w:rFonts w:eastAsia="仿宋_GB2312"/>
                <w:color w:val="000000"/>
                <w:szCs w:val="21"/>
              </w:rPr>
            </w:pPr>
            <w:r>
              <w:rPr>
                <w:rFonts w:hint="eastAsia" w:eastAsia="仿宋_GB2312"/>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4520" w:type="dxa"/>
            <w:vMerge w:val="continue"/>
            <w:vAlign w:val="top"/>
          </w:tcPr>
          <w:p>
            <w:pPr>
              <w:tabs>
                <w:tab w:val="left" w:pos="1125"/>
              </w:tabs>
              <w:spacing w:line="360" w:lineRule="exact"/>
              <w:rPr>
                <w:rFonts w:hint="eastAsia" w:ascii="宋体" w:hAnsi="宋体" w:cs="宋体"/>
                <w:bCs/>
                <w:color w:val="000000"/>
                <w:szCs w:val="21"/>
              </w:rPr>
            </w:pPr>
          </w:p>
        </w:tc>
        <w:tc>
          <w:tcPr>
            <w:tcW w:w="1080" w:type="dxa"/>
            <w:vAlign w:val="center"/>
          </w:tcPr>
          <w:p>
            <w:pPr>
              <w:tabs>
                <w:tab w:val="left" w:pos="1125"/>
              </w:tabs>
              <w:spacing w:line="360" w:lineRule="exact"/>
              <w:jc w:val="center"/>
              <w:rPr>
                <w:rFonts w:hint="eastAsia" w:ascii="宋体" w:hAnsi="宋体" w:cs="宋体"/>
                <w:bCs/>
                <w:color w:val="000000"/>
                <w:szCs w:val="21"/>
              </w:rPr>
            </w:pPr>
            <w:r>
              <w:rPr>
                <w:rFonts w:hint="eastAsia" w:ascii="宋体" w:hAnsi="宋体" w:cs="宋体"/>
                <w:bCs/>
                <w:color w:val="000000"/>
                <w:szCs w:val="21"/>
              </w:rPr>
              <w:t>三等奖</w:t>
            </w:r>
          </w:p>
        </w:tc>
        <w:tc>
          <w:tcPr>
            <w:tcW w:w="2745" w:type="dxa"/>
            <w:vAlign w:val="center"/>
          </w:tcPr>
          <w:p>
            <w:pPr>
              <w:tabs>
                <w:tab w:val="left" w:pos="720"/>
              </w:tabs>
              <w:spacing w:line="520" w:lineRule="exact"/>
              <w:jc w:val="center"/>
              <w:rPr>
                <w:rFonts w:eastAsia="仿宋_GB2312"/>
                <w:color w:val="000000"/>
                <w:szCs w:val="21"/>
              </w:rPr>
            </w:pPr>
            <w:r>
              <w:rPr>
                <w:rFonts w:eastAsia="仿宋_GB2312"/>
                <w:color w:val="000000"/>
                <w:szCs w:val="21"/>
              </w:rPr>
              <w:t>0.</w:t>
            </w:r>
            <w:r>
              <w:rPr>
                <w:rFonts w:hint="eastAsia" w:eastAsia="仿宋_GB2312"/>
                <w:color w:val="000000"/>
                <w:szCs w:val="21"/>
              </w:rPr>
              <w:t>5</w:t>
            </w:r>
          </w:p>
        </w:tc>
      </w:tr>
    </w:tbl>
    <w:p>
      <w:pPr>
        <w:spacing w:line="560" w:lineRule="exact"/>
        <w:ind w:left="141" w:leftChars="67" w:firstLine="422" w:firstLineChars="150"/>
        <w:rPr>
          <w:rFonts w:hint="eastAsia" w:eastAsia="仿宋_GB2312"/>
          <w:b/>
          <w:color w:val="000000"/>
          <w:sz w:val="28"/>
          <w:szCs w:val="28"/>
        </w:rPr>
      </w:pPr>
      <w:r>
        <w:rPr>
          <w:rFonts w:hint="eastAsia" w:eastAsia="仿宋_GB2312"/>
          <w:b/>
          <w:color w:val="000000"/>
          <w:sz w:val="28"/>
          <w:szCs w:val="28"/>
        </w:rPr>
        <w:t xml:space="preserve">第十二条  </w:t>
      </w:r>
      <w:r>
        <w:rPr>
          <w:rFonts w:hint="eastAsia" w:eastAsia="仿宋_GB2312"/>
          <w:color w:val="000000"/>
          <w:sz w:val="28"/>
          <w:szCs w:val="28"/>
        </w:rPr>
        <w:t>艺术类成果奖励是对我校教师以学校为名义参加国家、省级人民政府主管部门组织的美术（音乐）展览（比赛）获得奖励的再奖励。我校作为第一署名单位，且我校教师为第一参赛人所取得的艺术类成果奖励范围和标准如下：</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749"/>
        <w:gridCol w:w="1187"/>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5293" w:type="dxa"/>
            <w:gridSpan w:val="2"/>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艺术成果获奖类别和等级</w:t>
            </w:r>
          </w:p>
        </w:tc>
        <w:tc>
          <w:tcPr>
            <w:tcW w:w="1187"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奖励金额（万元）</w:t>
            </w:r>
          </w:p>
        </w:tc>
        <w:tc>
          <w:tcPr>
            <w:tcW w:w="2025"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544" w:type="dxa"/>
            <w:vMerge w:val="restart"/>
            <w:vAlign w:val="center"/>
          </w:tcPr>
          <w:p>
            <w:pPr>
              <w:spacing w:line="320" w:lineRule="exact"/>
              <w:rPr>
                <w:rFonts w:hint="eastAsia" w:ascii="宋体" w:hAnsi="宋体" w:cs="宋体"/>
                <w:color w:val="000000"/>
                <w:szCs w:val="21"/>
              </w:rPr>
            </w:pPr>
            <w:r>
              <w:rPr>
                <w:rFonts w:hint="eastAsia" w:ascii="宋体" w:hAnsi="宋体" w:cs="宋体"/>
                <w:color w:val="000000"/>
                <w:szCs w:val="21"/>
              </w:rPr>
              <w:t>中宣部、文化部、全国美（音）协主办的全国性美术（音乐）展览（比赛）</w:t>
            </w:r>
          </w:p>
        </w:tc>
        <w:tc>
          <w:tcPr>
            <w:tcW w:w="1749"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一等奖（金奖）</w:t>
            </w:r>
          </w:p>
        </w:tc>
        <w:tc>
          <w:tcPr>
            <w:tcW w:w="1187" w:type="dxa"/>
            <w:vAlign w:val="center"/>
          </w:tcPr>
          <w:p>
            <w:pPr>
              <w:spacing w:line="320" w:lineRule="exact"/>
              <w:jc w:val="center"/>
              <w:rPr>
                <w:rFonts w:eastAsia="仿宋_GB2312"/>
                <w:color w:val="000000"/>
                <w:szCs w:val="21"/>
              </w:rPr>
            </w:pPr>
            <w:r>
              <w:rPr>
                <w:rFonts w:eastAsia="仿宋_GB2312"/>
                <w:color w:val="000000"/>
                <w:szCs w:val="21"/>
              </w:rPr>
              <w:t>3</w:t>
            </w:r>
          </w:p>
        </w:tc>
        <w:tc>
          <w:tcPr>
            <w:tcW w:w="2025" w:type="dxa"/>
            <w:vMerge w:val="restart"/>
            <w:vAlign w:val="center"/>
          </w:tcPr>
          <w:p>
            <w:pPr>
              <w:spacing w:line="320" w:lineRule="exact"/>
              <w:rPr>
                <w:rFonts w:hint="eastAsia" w:ascii="宋体" w:hAnsi="宋体" w:cs="宋体"/>
                <w:color w:val="000000"/>
                <w:szCs w:val="21"/>
              </w:rPr>
            </w:pPr>
            <w:r>
              <w:rPr>
                <w:rFonts w:hint="eastAsia" w:ascii="宋体" w:hAnsi="宋体" w:cs="宋体"/>
                <w:color w:val="000000"/>
                <w:szCs w:val="21"/>
              </w:rPr>
              <w:t>一般每5年一次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3544" w:type="dxa"/>
            <w:vMerge w:val="continue"/>
            <w:vAlign w:val="center"/>
          </w:tcPr>
          <w:p>
            <w:pPr>
              <w:spacing w:line="320" w:lineRule="exact"/>
              <w:rPr>
                <w:rFonts w:hint="eastAsia" w:ascii="宋体" w:hAnsi="宋体" w:cs="宋体"/>
                <w:color w:val="000000"/>
                <w:szCs w:val="21"/>
              </w:rPr>
            </w:pPr>
          </w:p>
        </w:tc>
        <w:tc>
          <w:tcPr>
            <w:tcW w:w="1749"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二等奖（银奖）</w:t>
            </w:r>
          </w:p>
        </w:tc>
        <w:tc>
          <w:tcPr>
            <w:tcW w:w="1187" w:type="dxa"/>
            <w:vAlign w:val="center"/>
          </w:tcPr>
          <w:p>
            <w:pPr>
              <w:spacing w:line="320" w:lineRule="exact"/>
              <w:jc w:val="center"/>
              <w:rPr>
                <w:rFonts w:eastAsia="仿宋_GB2312"/>
                <w:color w:val="000000"/>
                <w:szCs w:val="21"/>
              </w:rPr>
            </w:pPr>
            <w:r>
              <w:rPr>
                <w:rFonts w:eastAsia="仿宋_GB2312"/>
                <w:color w:val="000000"/>
                <w:szCs w:val="21"/>
              </w:rPr>
              <w:t>1.5</w:t>
            </w:r>
          </w:p>
        </w:tc>
        <w:tc>
          <w:tcPr>
            <w:tcW w:w="2025" w:type="dxa"/>
            <w:vMerge w:val="continue"/>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544" w:type="dxa"/>
            <w:vMerge w:val="continue"/>
            <w:vAlign w:val="center"/>
          </w:tcPr>
          <w:p>
            <w:pPr>
              <w:spacing w:line="320" w:lineRule="exact"/>
              <w:rPr>
                <w:rFonts w:hint="eastAsia" w:ascii="宋体" w:hAnsi="宋体" w:cs="宋体"/>
                <w:color w:val="000000"/>
                <w:szCs w:val="21"/>
              </w:rPr>
            </w:pPr>
          </w:p>
        </w:tc>
        <w:tc>
          <w:tcPr>
            <w:tcW w:w="1749"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三等奖（铜奖）</w:t>
            </w:r>
          </w:p>
        </w:tc>
        <w:tc>
          <w:tcPr>
            <w:tcW w:w="1187" w:type="dxa"/>
            <w:vAlign w:val="center"/>
          </w:tcPr>
          <w:p>
            <w:pPr>
              <w:spacing w:line="320" w:lineRule="exact"/>
              <w:jc w:val="center"/>
              <w:rPr>
                <w:rFonts w:eastAsia="仿宋_GB2312"/>
                <w:color w:val="000000"/>
                <w:szCs w:val="21"/>
              </w:rPr>
            </w:pPr>
            <w:r>
              <w:rPr>
                <w:rFonts w:eastAsia="仿宋_GB2312"/>
                <w:color w:val="000000"/>
                <w:szCs w:val="21"/>
              </w:rPr>
              <w:t>0.8</w:t>
            </w:r>
          </w:p>
        </w:tc>
        <w:tc>
          <w:tcPr>
            <w:tcW w:w="2025" w:type="dxa"/>
            <w:vMerge w:val="continue"/>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544" w:type="dxa"/>
            <w:vMerge w:val="continue"/>
            <w:vAlign w:val="center"/>
          </w:tcPr>
          <w:p>
            <w:pPr>
              <w:spacing w:line="320" w:lineRule="exact"/>
              <w:rPr>
                <w:rFonts w:hint="eastAsia" w:ascii="宋体" w:hAnsi="宋体" w:cs="宋体"/>
                <w:color w:val="000000"/>
                <w:szCs w:val="21"/>
              </w:rPr>
            </w:pPr>
          </w:p>
        </w:tc>
        <w:tc>
          <w:tcPr>
            <w:tcW w:w="1749"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优秀作品奖或入选</w:t>
            </w:r>
          </w:p>
        </w:tc>
        <w:tc>
          <w:tcPr>
            <w:tcW w:w="1187" w:type="dxa"/>
            <w:vAlign w:val="center"/>
          </w:tcPr>
          <w:p>
            <w:pPr>
              <w:spacing w:line="320" w:lineRule="exact"/>
              <w:jc w:val="center"/>
              <w:rPr>
                <w:rFonts w:eastAsia="仿宋_GB2312"/>
                <w:color w:val="000000"/>
                <w:szCs w:val="21"/>
              </w:rPr>
            </w:pPr>
            <w:r>
              <w:rPr>
                <w:rFonts w:hint="eastAsia" w:eastAsia="仿宋_GB2312"/>
                <w:color w:val="000000"/>
                <w:szCs w:val="21"/>
              </w:rPr>
              <w:t>0.5</w:t>
            </w:r>
          </w:p>
        </w:tc>
        <w:tc>
          <w:tcPr>
            <w:tcW w:w="2025" w:type="dxa"/>
            <w:vMerge w:val="continue"/>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544" w:type="dxa"/>
            <w:vMerge w:val="restart"/>
            <w:vAlign w:val="center"/>
          </w:tcPr>
          <w:p>
            <w:pPr>
              <w:spacing w:line="320" w:lineRule="exact"/>
              <w:rPr>
                <w:rFonts w:hint="eastAsia" w:ascii="宋体" w:hAnsi="宋体" w:cs="宋体"/>
                <w:color w:val="000000"/>
                <w:szCs w:val="21"/>
              </w:rPr>
            </w:pPr>
            <w:r>
              <w:rPr>
                <w:rFonts w:hint="eastAsia" w:ascii="宋体" w:hAnsi="宋体" w:cs="宋体"/>
                <w:color w:val="000000"/>
                <w:szCs w:val="21"/>
              </w:rPr>
              <w:t>中宣部、文化部、中国美（协）协各专业委员会等主办全国性单项美术（音乐）展览（比赛）</w:t>
            </w:r>
          </w:p>
        </w:tc>
        <w:tc>
          <w:tcPr>
            <w:tcW w:w="1749"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一等奖（金奖）</w:t>
            </w:r>
          </w:p>
        </w:tc>
        <w:tc>
          <w:tcPr>
            <w:tcW w:w="1187" w:type="dxa"/>
            <w:vAlign w:val="center"/>
          </w:tcPr>
          <w:p>
            <w:pPr>
              <w:spacing w:line="320" w:lineRule="exact"/>
              <w:jc w:val="center"/>
              <w:rPr>
                <w:rFonts w:eastAsia="仿宋_GB2312"/>
                <w:color w:val="000000"/>
                <w:szCs w:val="21"/>
              </w:rPr>
            </w:pPr>
            <w:r>
              <w:rPr>
                <w:rFonts w:eastAsia="仿宋_GB2312"/>
                <w:color w:val="000000"/>
                <w:szCs w:val="21"/>
              </w:rPr>
              <w:t>1</w:t>
            </w:r>
          </w:p>
        </w:tc>
        <w:tc>
          <w:tcPr>
            <w:tcW w:w="2025" w:type="dxa"/>
            <w:vMerge w:val="restart"/>
            <w:vAlign w:val="center"/>
          </w:tcPr>
          <w:p>
            <w:pPr>
              <w:spacing w:line="320" w:lineRule="exact"/>
              <w:rPr>
                <w:rFonts w:hint="eastAsia" w:ascii="宋体" w:hAnsi="宋体" w:cs="宋体"/>
                <w:color w:val="000000"/>
                <w:szCs w:val="21"/>
              </w:rPr>
            </w:pPr>
            <w:r>
              <w:rPr>
                <w:rFonts w:hint="eastAsia" w:ascii="宋体" w:hAnsi="宋体" w:cs="宋体"/>
                <w:color w:val="000000"/>
                <w:szCs w:val="21"/>
              </w:rPr>
              <w:t>其他行业协会举办的展览（比赛）不予奖励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3544" w:type="dxa"/>
            <w:vMerge w:val="continue"/>
            <w:vAlign w:val="center"/>
          </w:tcPr>
          <w:p>
            <w:pPr>
              <w:spacing w:line="320" w:lineRule="exact"/>
              <w:rPr>
                <w:rFonts w:hint="eastAsia" w:ascii="宋体" w:hAnsi="宋体" w:cs="宋体"/>
                <w:color w:val="000000"/>
                <w:szCs w:val="21"/>
              </w:rPr>
            </w:pPr>
          </w:p>
        </w:tc>
        <w:tc>
          <w:tcPr>
            <w:tcW w:w="1749"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二等奖（银奖）</w:t>
            </w:r>
          </w:p>
        </w:tc>
        <w:tc>
          <w:tcPr>
            <w:tcW w:w="1187" w:type="dxa"/>
            <w:vAlign w:val="center"/>
          </w:tcPr>
          <w:p>
            <w:pPr>
              <w:spacing w:line="320" w:lineRule="exact"/>
              <w:jc w:val="center"/>
              <w:rPr>
                <w:rFonts w:eastAsia="仿宋_GB2312"/>
                <w:color w:val="000000"/>
                <w:szCs w:val="21"/>
              </w:rPr>
            </w:pPr>
            <w:r>
              <w:rPr>
                <w:rFonts w:eastAsia="仿宋_GB2312"/>
                <w:color w:val="000000"/>
                <w:szCs w:val="21"/>
              </w:rPr>
              <w:t>0.5</w:t>
            </w:r>
          </w:p>
        </w:tc>
        <w:tc>
          <w:tcPr>
            <w:tcW w:w="2025" w:type="dxa"/>
            <w:vMerge w:val="continue"/>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3544" w:type="dxa"/>
            <w:vMerge w:val="continue"/>
            <w:vAlign w:val="center"/>
          </w:tcPr>
          <w:p>
            <w:pPr>
              <w:spacing w:line="320" w:lineRule="exact"/>
              <w:rPr>
                <w:rFonts w:hint="eastAsia" w:ascii="宋体" w:hAnsi="宋体" w:cs="宋体"/>
                <w:color w:val="000000"/>
                <w:szCs w:val="21"/>
              </w:rPr>
            </w:pPr>
          </w:p>
        </w:tc>
        <w:tc>
          <w:tcPr>
            <w:tcW w:w="1749"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三等奖（铜奖）</w:t>
            </w:r>
          </w:p>
        </w:tc>
        <w:tc>
          <w:tcPr>
            <w:tcW w:w="1187" w:type="dxa"/>
            <w:vAlign w:val="center"/>
          </w:tcPr>
          <w:p>
            <w:pPr>
              <w:spacing w:line="320" w:lineRule="exact"/>
              <w:jc w:val="center"/>
              <w:rPr>
                <w:rFonts w:eastAsia="仿宋_GB2312"/>
                <w:color w:val="000000"/>
                <w:szCs w:val="21"/>
              </w:rPr>
            </w:pPr>
            <w:r>
              <w:rPr>
                <w:rFonts w:eastAsia="仿宋_GB2312"/>
                <w:color w:val="000000"/>
                <w:szCs w:val="21"/>
              </w:rPr>
              <w:t>0.3</w:t>
            </w:r>
          </w:p>
        </w:tc>
        <w:tc>
          <w:tcPr>
            <w:tcW w:w="2025" w:type="dxa"/>
            <w:vMerge w:val="continue"/>
            <w:vAlign w:val="center"/>
          </w:tcPr>
          <w:p>
            <w:pPr>
              <w:spacing w:line="320" w:lineRule="exac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3544" w:type="dxa"/>
            <w:vMerge w:val="continue"/>
            <w:vAlign w:val="center"/>
          </w:tcPr>
          <w:p>
            <w:pPr>
              <w:spacing w:line="320" w:lineRule="exact"/>
              <w:rPr>
                <w:rFonts w:hint="eastAsia" w:ascii="宋体" w:hAnsi="宋体" w:cs="宋体"/>
                <w:color w:val="000000"/>
                <w:szCs w:val="21"/>
              </w:rPr>
            </w:pPr>
          </w:p>
        </w:tc>
        <w:tc>
          <w:tcPr>
            <w:tcW w:w="1749"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优秀作品奖或入选</w:t>
            </w:r>
          </w:p>
        </w:tc>
        <w:tc>
          <w:tcPr>
            <w:tcW w:w="1187" w:type="dxa"/>
            <w:vAlign w:val="center"/>
          </w:tcPr>
          <w:p>
            <w:pPr>
              <w:spacing w:line="320" w:lineRule="exact"/>
              <w:jc w:val="center"/>
              <w:rPr>
                <w:rFonts w:eastAsia="仿宋_GB2312"/>
                <w:color w:val="000000"/>
                <w:szCs w:val="21"/>
              </w:rPr>
            </w:pPr>
            <w:r>
              <w:rPr>
                <w:rFonts w:hint="eastAsia" w:eastAsia="仿宋_GB2312"/>
                <w:color w:val="000000"/>
                <w:szCs w:val="21"/>
              </w:rPr>
              <w:t>0.1</w:t>
            </w:r>
          </w:p>
        </w:tc>
        <w:tc>
          <w:tcPr>
            <w:tcW w:w="2025" w:type="dxa"/>
            <w:vMerge w:val="continue"/>
            <w:vAlign w:val="center"/>
          </w:tcPr>
          <w:p>
            <w:pPr>
              <w:spacing w:line="320" w:lineRule="exac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5293" w:type="dxa"/>
            <w:gridSpan w:val="2"/>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省委宣传部、省文化厅、省美（音）协等主办的美术（音乐）作品展（比赛）一等奖</w:t>
            </w:r>
          </w:p>
        </w:tc>
        <w:tc>
          <w:tcPr>
            <w:tcW w:w="1187" w:type="dxa"/>
            <w:vAlign w:val="center"/>
          </w:tcPr>
          <w:p>
            <w:pPr>
              <w:spacing w:line="320" w:lineRule="exact"/>
              <w:jc w:val="center"/>
              <w:rPr>
                <w:rFonts w:eastAsia="仿宋_GB2312"/>
                <w:color w:val="000000"/>
                <w:szCs w:val="21"/>
              </w:rPr>
            </w:pPr>
            <w:r>
              <w:rPr>
                <w:rFonts w:eastAsia="仿宋_GB2312"/>
                <w:color w:val="000000"/>
                <w:szCs w:val="21"/>
              </w:rPr>
              <w:t>0.5</w:t>
            </w:r>
          </w:p>
        </w:tc>
        <w:tc>
          <w:tcPr>
            <w:tcW w:w="2025" w:type="dxa"/>
            <w:vAlign w:val="center"/>
          </w:tcPr>
          <w:p>
            <w:pPr>
              <w:spacing w:line="320" w:lineRule="exact"/>
              <w:rPr>
                <w:rFonts w:hint="eastAsia" w:ascii="宋体" w:hAnsi="宋体" w:cs="宋体"/>
                <w:color w:val="000000"/>
                <w:szCs w:val="21"/>
              </w:rPr>
            </w:pPr>
            <w:r>
              <w:rPr>
                <w:rFonts w:hint="eastAsia" w:ascii="宋体" w:hAnsi="宋体" w:cs="宋体"/>
                <w:color w:val="000000"/>
                <w:szCs w:val="21"/>
              </w:rPr>
              <w:t>与全国美展（比赛）同步且推荐作品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5293" w:type="dxa"/>
            <w:gridSpan w:val="2"/>
            <w:vAlign w:val="center"/>
          </w:tcPr>
          <w:p>
            <w:pPr>
              <w:spacing w:line="320" w:lineRule="exact"/>
              <w:rPr>
                <w:rFonts w:hint="eastAsia" w:ascii="宋体" w:hAnsi="宋体" w:cs="宋体"/>
                <w:color w:val="000000"/>
                <w:szCs w:val="21"/>
              </w:rPr>
            </w:pPr>
            <w:r>
              <w:rPr>
                <w:rFonts w:hint="eastAsia" w:ascii="宋体" w:hAnsi="宋体" w:cs="宋体"/>
                <w:color w:val="000000"/>
                <w:szCs w:val="21"/>
              </w:rPr>
              <w:t>国家级美术馆、博物馆收藏作品</w:t>
            </w:r>
          </w:p>
        </w:tc>
        <w:tc>
          <w:tcPr>
            <w:tcW w:w="1187" w:type="dxa"/>
            <w:vAlign w:val="center"/>
          </w:tcPr>
          <w:p>
            <w:pPr>
              <w:spacing w:line="320" w:lineRule="exact"/>
              <w:jc w:val="center"/>
              <w:rPr>
                <w:rFonts w:eastAsia="仿宋_GB2312"/>
                <w:color w:val="000000"/>
                <w:szCs w:val="21"/>
              </w:rPr>
            </w:pPr>
            <w:r>
              <w:rPr>
                <w:rFonts w:eastAsia="仿宋_GB2312"/>
                <w:color w:val="000000"/>
                <w:szCs w:val="21"/>
              </w:rPr>
              <w:t>1</w:t>
            </w:r>
          </w:p>
        </w:tc>
        <w:tc>
          <w:tcPr>
            <w:tcW w:w="2025" w:type="dxa"/>
            <w:vAlign w:val="center"/>
          </w:tcPr>
          <w:p>
            <w:pPr>
              <w:spacing w:line="320" w:lineRule="exact"/>
              <w:rPr>
                <w:rFonts w:hint="eastAsia" w:ascii="宋体" w:hAnsi="宋体" w:cs="宋体"/>
                <w:color w:val="000000"/>
                <w:szCs w:val="21"/>
              </w:rPr>
            </w:pPr>
            <w:r>
              <w:rPr>
                <w:rFonts w:hint="eastAsia" w:ascii="宋体" w:hAnsi="宋体" w:cs="宋体"/>
                <w:color w:val="000000"/>
                <w:szCs w:val="21"/>
              </w:rPr>
              <w:t>有收藏证书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293" w:type="dxa"/>
            <w:gridSpan w:val="2"/>
            <w:vAlign w:val="center"/>
          </w:tcPr>
          <w:p>
            <w:pPr>
              <w:spacing w:line="320" w:lineRule="exact"/>
              <w:rPr>
                <w:rFonts w:hint="eastAsia" w:ascii="宋体" w:hAnsi="宋体" w:cs="宋体"/>
                <w:color w:val="000000"/>
                <w:szCs w:val="21"/>
              </w:rPr>
            </w:pPr>
            <w:r>
              <w:rPr>
                <w:rFonts w:hint="eastAsia" w:ascii="宋体" w:hAnsi="宋体" w:cs="宋体"/>
                <w:color w:val="000000"/>
                <w:szCs w:val="21"/>
              </w:rPr>
              <w:t>省级美术馆、博物馆收藏作品</w:t>
            </w:r>
          </w:p>
        </w:tc>
        <w:tc>
          <w:tcPr>
            <w:tcW w:w="1187" w:type="dxa"/>
            <w:tcBorders>
              <w:bottom w:val="single" w:color="auto" w:sz="4" w:space="0"/>
            </w:tcBorders>
            <w:vAlign w:val="center"/>
          </w:tcPr>
          <w:p>
            <w:pPr>
              <w:spacing w:line="320" w:lineRule="exact"/>
              <w:jc w:val="center"/>
              <w:rPr>
                <w:rFonts w:eastAsia="仿宋_GB2312"/>
                <w:color w:val="000000"/>
                <w:szCs w:val="21"/>
              </w:rPr>
            </w:pPr>
            <w:r>
              <w:rPr>
                <w:rFonts w:eastAsia="仿宋_GB2312"/>
                <w:color w:val="000000"/>
                <w:szCs w:val="21"/>
              </w:rPr>
              <w:t>0.5</w:t>
            </w:r>
          </w:p>
        </w:tc>
        <w:tc>
          <w:tcPr>
            <w:tcW w:w="2025" w:type="dxa"/>
            <w:vAlign w:val="center"/>
          </w:tcPr>
          <w:p>
            <w:pPr>
              <w:spacing w:line="320" w:lineRule="exact"/>
              <w:rPr>
                <w:rFonts w:hint="eastAsia" w:ascii="宋体" w:hAnsi="宋体" w:cs="宋体"/>
                <w:color w:val="000000"/>
                <w:szCs w:val="21"/>
              </w:rPr>
            </w:pPr>
            <w:r>
              <w:rPr>
                <w:rFonts w:hint="eastAsia" w:ascii="宋体" w:hAnsi="宋体" w:cs="宋体"/>
                <w:color w:val="000000"/>
                <w:szCs w:val="21"/>
              </w:rPr>
              <w:t>有收藏证书</w:t>
            </w:r>
          </w:p>
        </w:tc>
      </w:tr>
    </w:tbl>
    <w:p>
      <w:pPr>
        <w:spacing w:line="560" w:lineRule="exact"/>
        <w:ind w:left="141" w:leftChars="67" w:firstLine="422" w:firstLineChars="150"/>
        <w:rPr>
          <w:rFonts w:hint="eastAsia" w:eastAsia="仿宋_GB2312"/>
          <w:color w:val="000000"/>
          <w:sz w:val="28"/>
          <w:szCs w:val="28"/>
        </w:rPr>
      </w:pPr>
      <w:r>
        <w:rPr>
          <w:rFonts w:hint="eastAsia" w:eastAsia="仿宋_GB2312"/>
          <w:b/>
          <w:color w:val="000000"/>
          <w:sz w:val="28"/>
          <w:szCs w:val="28"/>
        </w:rPr>
        <w:t xml:space="preserve">第十三条  </w:t>
      </w:r>
      <w:r>
        <w:rPr>
          <w:rFonts w:hint="eastAsia" w:eastAsia="仿宋_GB2312"/>
          <w:color w:val="000000"/>
          <w:sz w:val="28"/>
          <w:szCs w:val="28"/>
        </w:rPr>
        <w:t>技术标准奖励是对我校教师以学校名义参与编制的省级以上政府主管部门或者省级以上行业学会（协会）组织编写的通用技术标准（规范、规程、指南）、产品标准等成果的奖励。我校作为第一署名单位完成的技术标准成果奖励范围和标准如下：</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26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410"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技术标准类别</w:t>
            </w:r>
          </w:p>
        </w:tc>
        <w:tc>
          <w:tcPr>
            <w:tcW w:w="2268"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奖励金额（万元）</w:t>
            </w:r>
          </w:p>
        </w:tc>
        <w:tc>
          <w:tcPr>
            <w:tcW w:w="3827"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410"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国家标准</w:t>
            </w:r>
          </w:p>
        </w:tc>
        <w:tc>
          <w:tcPr>
            <w:tcW w:w="2268" w:type="dxa"/>
            <w:vAlign w:val="center"/>
          </w:tcPr>
          <w:p>
            <w:pPr>
              <w:spacing w:line="320" w:lineRule="exact"/>
              <w:jc w:val="center"/>
              <w:rPr>
                <w:rFonts w:eastAsia="仿宋_GB2312"/>
                <w:color w:val="000000"/>
                <w:szCs w:val="21"/>
              </w:rPr>
            </w:pPr>
            <w:r>
              <w:rPr>
                <w:rFonts w:eastAsia="仿宋_GB2312"/>
                <w:color w:val="000000"/>
                <w:szCs w:val="21"/>
              </w:rPr>
              <w:t>2</w:t>
            </w:r>
          </w:p>
        </w:tc>
        <w:tc>
          <w:tcPr>
            <w:tcW w:w="3827" w:type="dxa"/>
            <w:vMerge w:val="restart"/>
            <w:vAlign w:val="center"/>
          </w:tcPr>
          <w:p>
            <w:pPr>
              <w:spacing w:line="320" w:lineRule="exact"/>
              <w:rPr>
                <w:rFonts w:eastAsia="仿宋"/>
                <w:color w:val="000000"/>
                <w:szCs w:val="21"/>
              </w:rPr>
            </w:pPr>
            <w:r>
              <w:rPr>
                <w:rFonts w:hint="eastAsia" w:ascii="宋体" w:hAnsi="宋体" w:cs="宋体"/>
                <w:color w:val="000000"/>
                <w:szCs w:val="21"/>
              </w:rPr>
              <w:t>正式出版，参编单位明确标注我校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410"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行业标准</w:t>
            </w:r>
          </w:p>
        </w:tc>
        <w:tc>
          <w:tcPr>
            <w:tcW w:w="2268" w:type="dxa"/>
            <w:vAlign w:val="center"/>
          </w:tcPr>
          <w:p>
            <w:pPr>
              <w:spacing w:line="320" w:lineRule="exact"/>
              <w:jc w:val="center"/>
              <w:rPr>
                <w:rFonts w:eastAsia="仿宋_GB2312"/>
                <w:color w:val="000000"/>
                <w:szCs w:val="21"/>
              </w:rPr>
            </w:pPr>
            <w:r>
              <w:rPr>
                <w:rFonts w:eastAsia="仿宋_GB2312"/>
                <w:color w:val="000000"/>
                <w:szCs w:val="21"/>
              </w:rPr>
              <w:t>1.5</w:t>
            </w:r>
          </w:p>
        </w:tc>
        <w:tc>
          <w:tcPr>
            <w:tcW w:w="3827" w:type="dxa"/>
            <w:vMerge w:val="continue"/>
            <w:vAlign w:val="center"/>
          </w:tcPr>
          <w:p>
            <w:pPr>
              <w:spacing w:line="32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410" w:type="dxa"/>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地方标准</w:t>
            </w:r>
          </w:p>
        </w:tc>
        <w:tc>
          <w:tcPr>
            <w:tcW w:w="2268" w:type="dxa"/>
            <w:vAlign w:val="center"/>
          </w:tcPr>
          <w:p>
            <w:pPr>
              <w:spacing w:line="320" w:lineRule="exact"/>
              <w:jc w:val="center"/>
              <w:rPr>
                <w:rFonts w:eastAsia="仿宋_GB2312"/>
                <w:color w:val="000000"/>
                <w:szCs w:val="21"/>
              </w:rPr>
            </w:pPr>
            <w:r>
              <w:rPr>
                <w:rFonts w:eastAsia="仿宋_GB2312"/>
                <w:color w:val="000000"/>
                <w:szCs w:val="21"/>
              </w:rPr>
              <w:t>0.8</w:t>
            </w:r>
          </w:p>
        </w:tc>
        <w:tc>
          <w:tcPr>
            <w:tcW w:w="3827" w:type="dxa"/>
            <w:vMerge w:val="continue"/>
            <w:vAlign w:val="center"/>
          </w:tcPr>
          <w:p>
            <w:pPr>
              <w:spacing w:line="320" w:lineRule="exact"/>
              <w:rPr>
                <w:rFonts w:eastAsia="仿宋_GB2312"/>
                <w:color w:val="000000"/>
                <w:szCs w:val="21"/>
              </w:rPr>
            </w:pPr>
          </w:p>
        </w:tc>
      </w:tr>
    </w:tbl>
    <w:p>
      <w:pPr>
        <w:spacing w:line="560" w:lineRule="exact"/>
        <w:jc w:val="center"/>
        <w:rPr>
          <w:rFonts w:hint="eastAsia" w:ascii="黑体" w:hAnsi="黑体" w:eastAsia="黑体"/>
          <w:color w:val="000000"/>
          <w:sz w:val="28"/>
          <w:szCs w:val="28"/>
        </w:rPr>
      </w:pPr>
    </w:p>
    <w:p>
      <w:pPr>
        <w:spacing w:line="560" w:lineRule="exact"/>
        <w:jc w:val="center"/>
        <w:rPr>
          <w:rFonts w:ascii="黑体" w:hAnsi="黑体" w:eastAsia="黑体"/>
          <w:color w:val="000000"/>
          <w:sz w:val="28"/>
          <w:szCs w:val="28"/>
        </w:rPr>
      </w:pPr>
      <w:r>
        <w:rPr>
          <w:rFonts w:ascii="黑体" w:hAnsi="黑体" w:eastAsia="黑体"/>
          <w:color w:val="000000"/>
          <w:sz w:val="28"/>
          <w:szCs w:val="28"/>
        </w:rPr>
        <w:t>第三章  申报与评审</w:t>
      </w:r>
    </w:p>
    <w:p>
      <w:pPr>
        <w:spacing w:line="560" w:lineRule="exact"/>
        <w:ind w:firstLine="562" w:firstLineChars="200"/>
        <w:rPr>
          <w:rFonts w:eastAsia="仿宋_GB2312"/>
          <w:color w:val="000000"/>
          <w:sz w:val="28"/>
          <w:szCs w:val="28"/>
        </w:rPr>
      </w:pPr>
      <w:r>
        <w:rPr>
          <w:rFonts w:eastAsia="仿宋_GB2312"/>
          <w:b/>
          <w:color w:val="000000"/>
          <w:sz w:val="28"/>
          <w:szCs w:val="28"/>
        </w:rPr>
        <w:t>第十</w:t>
      </w:r>
      <w:r>
        <w:rPr>
          <w:rFonts w:hint="eastAsia" w:eastAsia="仿宋_GB2312"/>
          <w:b/>
          <w:color w:val="000000"/>
          <w:sz w:val="28"/>
          <w:szCs w:val="28"/>
        </w:rPr>
        <w:t>四</w:t>
      </w:r>
      <w:r>
        <w:rPr>
          <w:rFonts w:eastAsia="仿宋_GB2312"/>
          <w:b/>
          <w:color w:val="000000"/>
          <w:sz w:val="28"/>
          <w:szCs w:val="28"/>
        </w:rPr>
        <w:t>条</w:t>
      </w:r>
      <w:r>
        <w:rPr>
          <w:rFonts w:eastAsia="仿宋_GB2312"/>
          <w:color w:val="000000"/>
          <w:sz w:val="28"/>
          <w:szCs w:val="28"/>
        </w:rPr>
        <w:t xml:space="preserve">  由</w:t>
      </w:r>
      <w:r>
        <w:rPr>
          <w:rFonts w:hint="eastAsia" w:eastAsia="仿宋_GB2312"/>
          <w:color w:val="000000"/>
          <w:sz w:val="28"/>
          <w:szCs w:val="28"/>
        </w:rPr>
        <w:t>“</w:t>
      </w:r>
      <w:r>
        <w:rPr>
          <w:rFonts w:eastAsia="仿宋_GB2312"/>
          <w:color w:val="000000"/>
          <w:sz w:val="28"/>
          <w:szCs w:val="28"/>
        </w:rPr>
        <w:t>常州工学院学术委员会</w:t>
      </w:r>
      <w:r>
        <w:rPr>
          <w:rFonts w:hint="eastAsia" w:eastAsia="仿宋_GB2312"/>
          <w:color w:val="000000"/>
          <w:sz w:val="28"/>
          <w:szCs w:val="28"/>
        </w:rPr>
        <w:t>”</w:t>
      </w:r>
      <w:r>
        <w:rPr>
          <w:rFonts w:eastAsia="仿宋_GB2312"/>
          <w:color w:val="000000"/>
          <w:sz w:val="28"/>
          <w:szCs w:val="28"/>
        </w:rPr>
        <w:t>负责科研奖励</w:t>
      </w:r>
      <w:r>
        <w:rPr>
          <w:rFonts w:hint="eastAsia" w:eastAsia="仿宋_GB2312"/>
          <w:color w:val="000000"/>
          <w:sz w:val="28"/>
          <w:szCs w:val="28"/>
        </w:rPr>
        <w:t>审核</w:t>
      </w:r>
      <w:r>
        <w:rPr>
          <w:rFonts w:eastAsia="仿宋_GB2312"/>
          <w:color w:val="000000"/>
          <w:sz w:val="28"/>
          <w:szCs w:val="28"/>
        </w:rPr>
        <w:t>事宜。</w:t>
      </w:r>
    </w:p>
    <w:p>
      <w:pPr>
        <w:spacing w:line="560" w:lineRule="exact"/>
        <w:ind w:firstLine="562" w:firstLineChars="200"/>
        <w:rPr>
          <w:rFonts w:eastAsia="仿宋_GB2312"/>
          <w:color w:val="000000"/>
          <w:sz w:val="28"/>
          <w:szCs w:val="28"/>
        </w:rPr>
      </w:pPr>
      <w:r>
        <w:rPr>
          <w:rFonts w:eastAsia="仿宋_GB2312"/>
          <w:b/>
          <w:color w:val="000000"/>
          <w:sz w:val="28"/>
          <w:szCs w:val="28"/>
        </w:rPr>
        <w:t>第</w:t>
      </w:r>
      <w:r>
        <w:rPr>
          <w:rFonts w:hint="eastAsia" w:eastAsia="仿宋_GB2312"/>
          <w:b/>
          <w:color w:val="000000"/>
          <w:sz w:val="28"/>
          <w:szCs w:val="28"/>
        </w:rPr>
        <w:t>十五</w:t>
      </w:r>
      <w:r>
        <w:rPr>
          <w:rFonts w:eastAsia="仿宋_GB2312"/>
          <w:b/>
          <w:color w:val="000000"/>
          <w:sz w:val="28"/>
          <w:szCs w:val="28"/>
        </w:rPr>
        <w:t>条</w:t>
      </w:r>
      <w:r>
        <w:rPr>
          <w:rFonts w:hint="eastAsia" w:eastAsia="仿宋_GB2312"/>
          <w:color w:val="000000"/>
          <w:sz w:val="28"/>
          <w:szCs w:val="28"/>
        </w:rPr>
        <w:t xml:space="preserve">  </w:t>
      </w:r>
      <w:r>
        <w:rPr>
          <w:rFonts w:eastAsia="仿宋_GB2312"/>
          <w:color w:val="000000"/>
          <w:sz w:val="28"/>
          <w:szCs w:val="28"/>
        </w:rPr>
        <w:t>科研奖励由项目（成果）承担（完成）者中的我校教职工申请，每项项目（成果）只限一位承担（完成）者代表申请和接受奖金，署名排序在前者优先，奖金按</w:t>
      </w:r>
      <w:r>
        <w:rPr>
          <w:rFonts w:hint="eastAsia" w:eastAsia="仿宋_GB2312"/>
          <w:color w:val="000000"/>
          <w:sz w:val="28"/>
          <w:szCs w:val="28"/>
        </w:rPr>
        <w:t>本办法附录二的第四条</w:t>
      </w:r>
      <w:r>
        <w:rPr>
          <w:rFonts w:eastAsia="仿宋_GB2312"/>
          <w:color w:val="000000"/>
          <w:sz w:val="28"/>
          <w:szCs w:val="28"/>
        </w:rPr>
        <w:t>或自行协商分配。</w:t>
      </w:r>
    </w:p>
    <w:p>
      <w:pPr>
        <w:spacing w:line="560" w:lineRule="exact"/>
        <w:ind w:firstLine="562" w:firstLineChars="200"/>
        <w:rPr>
          <w:rFonts w:eastAsia="仿宋_GB2312"/>
          <w:color w:val="000000"/>
          <w:sz w:val="28"/>
          <w:szCs w:val="28"/>
        </w:rPr>
      </w:pPr>
      <w:r>
        <w:rPr>
          <w:rFonts w:eastAsia="仿宋_GB2312"/>
          <w:b/>
          <w:color w:val="000000"/>
          <w:sz w:val="28"/>
          <w:szCs w:val="28"/>
        </w:rPr>
        <w:t>第</w:t>
      </w:r>
      <w:r>
        <w:rPr>
          <w:rFonts w:hint="eastAsia" w:eastAsia="仿宋_GB2312"/>
          <w:b/>
          <w:color w:val="000000"/>
          <w:sz w:val="28"/>
          <w:szCs w:val="28"/>
        </w:rPr>
        <w:t>十六</w:t>
      </w:r>
      <w:r>
        <w:rPr>
          <w:rFonts w:eastAsia="仿宋_GB2312"/>
          <w:b/>
          <w:color w:val="000000"/>
          <w:sz w:val="28"/>
          <w:szCs w:val="28"/>
        </w:rPr>
        <w:t>条</w:t>
      </w:r>
      <w:r>
        <w:rPr>
          <w:rFonts w:eastAsia="仿宋_GB2312"/>
          <w:color w:val="000000"/>
          <w:sz w:val="28"/>
          <w:szCs w:val="28"/>
        </w:rPr>
        <w:t xml:space="preserve">  科研奖励申报、评审程序</w:t>
      </w:r>
    </w:p>
    <w:p>
      <w:pPr>
        <w:spacing w:line="560" w:lineRule="exact"/>
        <w:ind w:firstLine="420" w:firstLineChars="150"/>
        <w:rPr>
          <w:rFonts w:eastAsia="仿宋_GB2312"/>
          <w:color w:val="000000"/>
          <w:sz w:val="28"/>
          <w:szCs w:val="28"/>
        </w:rPr>
      </w:pPr>
      <w:r>
        <w:rPr>
          <w:rFonts w:eastAsia="仿宋_GB2312"/>
          <w:color w:val="000000"/>
          <w:sz w:val="28"/>
          <w:szCs w:val="28"/>
        </w:rPr>
        <w:t>（一）申请者填写《常州工学院科研奖励申请表》并附相关材料，经所在单位学术委员会评审，在符合条件的申报表上签署意见，报送科研处。</w:t>
      </w:r>
    </w:p>
    <w:p>
      <w:pPr>
        <w:spacing w:line="560" w:lineRule="exact"/>
        <w:ind w:firstLine="420" w:firstLineChars="150"/>
        <w:rPr>
          <w:rFonts w:eastAsia="仿宋_GB2312"/>
          <w:color w:val="000000"/>
          <w:sz w:val="28"/>
          <w:szCs w:val="28"/>
        </w:rPr>
      </w:pPr>
      <w:r>
        <w:rPr>
          <w:rFonts w:eastAsia="仿宋_GB2312"/>
          <w:color w:val="000000"/>
          <w:sz w:val="28"/>
          <w:szCs w:val="28"/>
        </w:rPr>
        <w:t>（二）科研处会同有关方面进行申报材料审核，提交校学术委员会</w:t>
      </w:r>
      <w:r>
        <w:rPr>
          <w:rFonts w:hint="eastAsia" w:eastAsia="仿宋_GB2312"/>
          <w:color w:val="000000"/>
          <w:sz w:val="28"/>
          <w:szCs w:val="28"/>
        </w:rPr>
        <w:t>审核</w:t>
      </w:r>
      <w:r>
        <w:rPr>
          <w:rFonts w:eastAsia="仿宋_GB2312"/>
          <w:color w:val="000000"/>
          <w:sz w:val="28"/>
          <w:szCs w:val="28"/>
        </w:rPr>
        <w:t>，报学校批准后公示</w:t>
      </w:r>
      <w:r>
        <w:rPr>
          <w:rFonts w:hint="eastAsia" w:eastAsia="仿宋_GB2312"/>
          <w:color w:val="000000"/>
          <w:sz w:val="28"/>
          <w:szCs w:val="28"/>
        </w:rPr>
        <w:t>，公示</w:t>
      </w:r>
      <w:r>
        <w:rPr>
          <w:rFonts w:eastAsia="仿宋_GB2312"/>
          <w:color w:val="000000"/>
          <w:sz w:val="28"/>
          <w:szCs w:val="28"/>
        </w:rPr>
        <w:t>异议期满后，实施奖励。</w:t>
      </w:r>
    </w:p>
    <w:p>
      <w:pPr>
        <w:spacing w:line="560" w:lineRule="exact"/>
        <w:ind w:firstLine="562" w:firstLineChars="200"/>
        <w:rPr>
          <w:rFonts w:hint="eastAsia" w:eastAsia="仿宋_GB2312"/>
          <w:color w:val="000000"/>
          <w:sz w:val="28"/>
          <w:szCs w:val="28"/>
        </w:rPr>
      </w:pPr>
      <w:r>
        <w:rPr>
          <w:rFonts w:eastAsia="仿宋_GB2312"/>
          <w:b/>
          <w:color w:val="000000"/>
          <w:sz w:val="28"/>
          <w:szCs w:val="28"/>
        </w:rPr>
        <w:t>第</w:t>
      </w:r>
      <w:r>
        <w:rPr>
          <w:rFonts w:hint="eastAsia" w:eastAsia="仿宋_GB2312"/>
          <w:b/>
          <w:color w:val="000000"/>
          <w:sz w:val="28"/>
          <w:szCs w:val="28"/>
        </w:rPr>
        <w:t>十七</w:t>
      </w:r>
      <w:r>
        <w:rPr>
          <w:rFonts w:eastAsia="仿宋_GB2312"/>
          <w:b/>
          <w:color w:val="000000"/>
          <w:sz w:val="28"/>
          <w:szCs w:val="28"/>
        </w:rPr>
        <w:t>条</w:t>
      </w:r>
      <w:r>
        <w:rPr>
          <w:rFonts w:hint="eastAsia" w:eastAsia="仿宋_GB2312"/>
          <w:color w:val="000000"/>
          <w:sz w:val="28"/>
          <w:szCs w:val="28"/>
        </w:rPr>
        <w:t xml:space="preserve">  </w:t>
      </w:r>
      <w:r>
        <w:rPr>
          <w:rFonts w:eastAsia="仿宋_GB2312"/>
          <w:color w:val="000000"/>
          <w:sz w:val="28"/>
          <w:szCs w:val="28"/>
        </w:rPr>
        <w:t>本办法中的所有奖励金额均为税前金额，获奖者收入所得税由个人承担</w:t>
      </w:r>
      <w:r>
        <w:rPr>
          <w:rFonts w:hint="eastAsia" w:eastAsia="仿宋_GB2312"/>
          <w:color w:val="000000"/>
          <w:sz w:val="28"/>
          <w:szCs w:val="28"/>
        </w:rPr>
        <w:t>。为此，若获得科研奖励的项目组人数超过2人者，获奖项目负责人应以书面形式将奖金分配方案报科研处、计划财务处备案；否则，奖励</w:t>
      </w:r>
      <w:r>
        <w:rPr>
          <w:rFonts w:eastAsia="仿宋_GB2312"/>
          <w:color w:val="000000"/>
          <w:sz w:val="28"/>
          <w:szCs w:val="28"/>
        </w:rPr>
        <w:t>收入所得税</w:t>
      </w:r>
      <w:r>
        <w:rPr>
          <w:rFonts w:hint="eastAsia" w:eastAsia="仿宋_GB2312"/>
          <w:color w:val="000000"/>
          <w:sz w:val="28"/>
          <w:szCs w:val="28"/>
        </w:rPr>
        <w:t>由获奖项目负责人一人承担。</w:t>
      </w:r>
    </w:p>
    <w:p>
      <w:pPr>
        <w:spacing w:line="560" w:lineRule="exact"/>
        <w:ind w:firstLine="562" w:firstLineChars="200"/>
        <w:rPr>
          <w:rFonts w:hint="eastAsia" w:ascii="仿宋_GB2312" w:hAnsi="宋体" w:eastAsia="仿宋_GB2312"/>
          <w:color w:val="000000"/>
          <w:sz w:val="28"/>
          <w:szCs w:val="28"/>
        </w:rPr>
      </w:pPr>
      <w:r>
        <w:rPr>
          <w:rFonts w:eastAsia="仿宋_GB2312"/>
          <w:b/>
          <w:color w:val="000000"/>
          <w:sz w:val="28"/>
          <w:szCs w:val="28"/>
        </w:rPr>
        <w:t>第十</w:t>
      </w:r>
      <w:r>
        <w:rPr>
          <w:rFonts w:hint="eastAsia" w:eastAsia="仿宋_GB2312"/>
          <w:b/>
          <w:color w:val="000000"/>
          <w:sz w:val="28"/>
          <w:szCs w:val="28"/>
        </w:rPr>
        <w:t>八</w:t>
      </w:r>
      <w:r>
        <w:rPr>
          <w:rFonts w:eastAsia="仿宋_GB2312"/>
          <w:b/>
          <w:color w:val="000000"/>
          <w:sz w:val="28"/>
          <w:szCs w:val="28"/>
        </w:rPr>
        <w:t>条</w:t>
      </w:r>
      <w:r>
        <w:rPr>
          <w:rFonts w:hint="eastAsia" w:eastAsia="仿宋_GB2312"/>
          <w:color w:val="000000"/>
          <w:sz w:val="28"/>
          <w:szCs w:val="28"/>
        </w:rPr>
        <w:t xml:space="preserve">  对于一些有突出贡献的科研成果及学术成果（未列入学校科研奖励条目），如在国内外产生重要学术影响的学术论文、国际发明专利、承办国际学术会议等，其奖励标准由科研处提出，并经学校学术委员会研究确定。</w:t>
      </w:r>
    </w:p>
    <w:p>
      <w:pPr>
        <w:spacing w:line="560" w:lineRule="exact"/>
        <w:jc w:val="center"/>
        <w:rPr>
          <w:rFonts w:ascii="黑体" w:hAnsi="黑体" w:eastAsia="黑体"/>
          <w:color w:val="000000"/>
          <w:sz w:val="28"/>
          <w:szCs w:val="28"/>
        </w:rPr>
      </w:pPr>
      <w:r>
        <w:rPr>
          <w:rFonts w:ascii="黑体" w:hAnsi="黑体" w:eastAsia="黑体"/>
          <w:color w:val="000000"/>
          <w:sz w:val="28"/>
          <w:szCs w:val="28"/>
        </w:rPr>
        <w:t>第四章  异议及其处理</w:t>
      </w:r>
    </w:p>
    <w:p>
      <w:pPr>
        <w:spacing w:line="560" w:lineRule="exact"/>
        <w:ind w:firstLine="562" w:firstLineChars="200"/>
        <w:rPr>
          <w:rFonts w:eastAsia="仿宋_GB2312"/>
          <w:color w:val="000000"/>
          <w:sz w:val="28"/>
          <w:szCs w:val="28"/>
        </w:rPr>
      </w:pPr>
      <w:r>
        <w:rPr>
          <w:rFonts w:eastAsia="仿宋_GB2312"/>
          <w:b/>
          <w:color w:val="000000"/>
          <w:sz w:val="28"/>
          <w:szCs w:val="28"/>
        </w:rPr>
        <w:t>第十</w:t>
      </w:r>
      <w:r>
        <w:rPr>
          <w:rFonts w:hint="eastAsia" w:eastAsia="仿宋_GB2312"/>
          <w:b/>
          <w:color w:val="000000"/>
          <w:sz w:val="28"/>
          <w:szCs w:val="28"/>
        </w:rPr>
        <w:t>九</w:t>
      </w:r>
      <w:r>
        <w:rPr>
          <w:rFonts w:eastAsia="仿宋_GB2312"/>
          <w:b/>
          <w:color w:val="000000"/>
          <w:sz w:val="28"/>
          <w:szCs w:val="28"/>
        </w:rPr>
        <w:t>条</w:t>
      </w:r>
      <w:r>
        <w:rPr>
          <w:rFonts w:hint="eastAsia" w:eastAsia="仿宋_GB2312"/>
          <w:color w:val="000000"/>
          <w:sz w:val="28"/>
          <w:szCs w:val="28"/>
        </w:rPr>
        <w:t xml:space="preserve">  </w:t>
      </w:r>
      <w:r>
        <w:rPr>
          <w:rFonts w:eastAsia="仿宋_GB2312"/>
          <w:color w:val="000000"/>
          <w:sz w:val="28"/>
          <w:szCs w:val="28"/>
        </w:rPr>
        <w:t>科研奖励工作接受全校教职工的监督，任何单位或个人对拟奖励的成果或个人持有异议的，均可在异议期内向</w:t>
      </w:r>
      <w:r>
        <w:rPr>
          <w:rFonts w:hint="eastAsia" w:eastAsia="仿宋_GB2312"/>
          <w:color w:val="000000"/>
          <w:sz w:val="28"/>
          <w:szCs w:val="28"/>
        </w:rPr>
        <w:t>科研处</w:t>
      </w:r>
      <w:r>
        <w:rPr>
          <w:rFonts w:eastAsia="仿宋_GB2312"/>
          <w:color w:val="000000"/>
          <w:sz w:val="28"/>
          <w:szCs w:val="28"/>
        </w:rPr>
        <w:t>提出书面异议意见，并提供佐证材料。</w:t>
      </w:r>
    </w:p>
    <w:p>
      <w:pPr>
        <w:spacing w:line="560" w:lineRule="exact"/>
        <w:ind w:firstLine="562" w:firstLineChars="200"/>
        <w:rPr>
          <w:rFonts w:eastAsia="仿宋_GB2312"/>
          <w:color w:val="000000"/>
          <w:sz w:val="28"/>
          <w:szCs w:val="28"/>
        </w:rPr>
      </w:pPr>
      <w:r>
        <w:rPr>
          <w:rFonts w:eastAsia="仿宋_GB2312"/>
          <w:b/>
          <w:color w:val="000000"/>
          <w:sz w:val="28"/>
          <w:szCs w:val="28"/>
        </w:rPr>
        <w:t>第二十条</w:t>
      </w:r>
      <w:r>
        <w:rPr>
          <w:rFonts w:hint="eastAsia" w:eastAsia="仿宋_GB2312"/>
          <w:color w:val="000000"/>
          <w:sz w:val="28"/>
          <w:szCs w:val="28"/>
        </w:rPr>
        <w:t xml:space="preserve">  </w:t>
      </w:r>
      <w:r>
        <w:rPr>
          <w:rFonts w:eastAsia="仿宋_GB2312"/>
          <w:color w:val="000000"/>
          <w:sz w:val="28"/>
          <w:szCs w:val="28"/>
        </w:rPr>
        <w:t>科研处负责对异议进行核实，并提请校学术委员会复议，复议结果报学校审议处理。</w:t>
      </w:r>
    </w:p>
    <w:p>
      <w:pPr>
        <w:spacing w:line="560" w:lineRule="exact"/>
        <w:jc w:val="center"/>
        <w:rPr>
          <w:rFonts w:ascii="黑体" w:hAnsi="黑体" w:eastAsia="黑体"/>
          <w:color w:val="000000"/>
          <w:sz w:val="28"/>
          <w:szCs w:val="28"/>
        </w:rPr>
      </w:pPr>
      <w:r>
        <w:rPr>
          <w:rFonts w:ascii="黑体" w:hAnsi="黑体" w:eastAsia="黑体"/>
          <w:color w:val="000000"/>
          <w:sz w:val="28"/>
          <w:szCs w:val="28"/>
        </w:rPr>
        <w:t>第五章</w:t>
      </w:r>
      <w:r>
        <w:rPr>
          <w:rFonts w:hint="eastAsia" w:ascii="黑体" w:hAnsi="黑体" w:eastAsia="黑体"/>
          <w:color w:val="000000"/>
          <w:sz w:val="28"/>
          <w:szCs w:val="28"/>
        </w:rPr>
        <w:t xml:space="preserve">  </w:t>
      </w:r>
      <w:r>
        <w:rPr>
          <w:rFonts w:ascii="黑体" w:hAnsi="黑体" w:eastAsia="黑体"/>
          <w:color w:val="000000"/>
          <w:sz w:val="28"/>
          <w:szCs w:val="28"/>
        </w:rPr>
        <w:t>罚则</w:t>
      </w:r>
    </w:p>
    <w:p>
      <w:pPr>
        <w:spacing w:line="560" w:lineRule="exact"/>
        <w:ind w:firstLine="562" w:firstLineChars="200"/>
        <w:rPr>
          <w:rFonts w:eastAsia="仿宋_GB2312"/>
          <w:color w:val="000000"/>
          <w:sz w:val="28"/>
          <w:szCs w:val="28"/>
        </w:rPr>
      </w:pPr>
      <w:r>
        <w:rPr>
          <w:rFonts w:eastAsia="仿宋_GB2312"/>
          <w:b/>
          <w:color w:val="000000"/>
          <w:sz w:val="28"/>
          <w:szCs w:val="28"/>
        </w:rPr>
        <w:t>第二十</w:t>
      </w:r>
      <w:r>
        <w:rPr>
          <w:rFonts w:hint="eastAsia" w:eastAsia="仿宋_GB2312"/>
          <w:b/>
          <w:color w:val="000000"/>
          <w:sz w:val="28"/>
          <w:szCs w:val="28"/>
        </w:rPr>
        <w:t>一</w:t>
      </w:r>
      <w:r>
        <w:rPr>
          <w:rFonts w:eastAsia="仿宋_GB2312"/>
          <w:b/>
          <w:color w:val="000000"/>
          <w:sz w:val="28"/>
          <w:szCs w:val="28"/>
        </w:rPr>
        <w:t>条</w:t>
      </w:r>
      <w:r>
        <w:rPr>
          <w:rFonts w:hint="eastAsia" w:eastAsia="仿宋_GB2312"/>
          <w:color w:val="000000"/>
          <w:sz w:val="28"/>
          <w:szCs w:val="28"/>
        </w:rPr>
        <w:t xml:space="preserve">  </w:t>
      </w:r>
      <w:r>
        <w:rPr>
          <w:rFonts w:eastAsia="仿宋_GB2312"/>
          <w:color w:val="000000"/>
          <w:sz w:val="28"/>
          <w:szCs w:val="28"/>
        </w:rPr>
        <w:t>剽窃、侵夺他人的发现、发明或者其他科研成果的，或者以其他不正当手段骗取科研奖励的，由校学术委员会认定并提出惩罚处理意见，报学校批准实施。</w:t>
      </w:r>
    </w:p>
    <w:p>
      <w:pPr>
        <w:spacing w:line="560" w:lineRule="exact"/>
        <w:ind w:firstLine="562" w:firstLineChars="200"/>
        <w:rPr>
          <w:rFonts w:hint="eastAsia" w:eastAsia="仿宋_GB2312"/>
          <w:color w:val="000000"/>
          <w:sz w:val="28"/>
          <w:szCs w:val="28"/>
        </w:rPr>
      </w:pPr>
      <w:r>
        <w:rPr>
          <w:rFonts w:eastAsia="仿宋_GB2312"/>
          <w:b/>
          <w:color w:val="000000"/>
          <w:sz w:val="28"/>
          <w:szCs w:val="28"/>
        </w:rPr>
        <w:t>第二十</w:t>
      </w:r>
      <w:r>
        <w:rPr>
          <w:rFonts w:hint="eastAsia" w:eastAsia="仿宋_GB2312"/>
          <w:b/>
          <w:color w:val="000000"/>
          <w:sz w:val="28"/>
          <w:szCs w:val="28"/>
        </w:rPr>
        <w:t>二</w:t>
      </w:r>
      <w:r>
        <w:rPr>
          <w:rFonts w:eastAsia="仿宋_GB2312"/>
          <w:b/>
          <w:color w:val="000000"/>
          <w:sz w:val="28"/>
          <w:szCs w:val="28"/>
        </w:rPr>
        <w:t>条</w:t>
      </w:r>
      <w:r>
        <w:rPr>
          <w:rFonts w:hint="eastAsia" w:eastAsia="仿宋_GB2312"/>
          <w:color w:val="000000"/>
          <w:sz w:val="28"/>
          <w:szCs w:val="28"/>
        </w:rPr>
        <w:t xml:space="preserve">  </w:t>
      </w:r>
      <w:r>
        <w:rPr>
          <w:rFonts w:eastAsia="仿宋_GB2312"/>
          <w:color w:val="000000"/>
          <w:sz w:val="28"/>
          <w:szCs w:val="28"/>
        </w:rPr>
        <w:t>推荐单位提供虚假数据、材料，协助他人骗取科研奖励或隐瞒申报人舞弊行为的，</w:t>
      </w:r>
      <w:r>
        <w:rPr>
          <w:rFonts w:hint="eastAsia" w:eastAsia="仿宋_GB2312"/>
          <w:color w:val="000000"/>
          <w:sz w:val="28"/>
          <w:szCs w:val="28"/>
        </w:rPr>
        <w:t>将追究有关人员的责任。</w:t>
      </w:r>
    </w:p>
    <w:p>
      <w:pPr>
        <w:spacing w:line="560" w:lineRule="exact"/>
        <w:ind w:firstLine="562" w:firstLineChars="200"/>
        <w:rPr>
          <w:rFonts w:eastAsia="仿宋_GB2312"/>
          <w:color w:val="000000"/>
          <w:sz w:val="28"/>
          <w:szCs w:val="28"/>
        </w:rPr>
      </w:pPr>
      <w:r>
        <w:rPr>
          <w:rFonts w:eastAsia="仿宋_GB2312"/>
          <w:b/>
          <w:color w:val="000000"/>
          <w:sz w:val="28"/>
          <w:szCs w:val="28"/>
        </w:rPr>
        <w:t>第二十</w:t>
      </w:r>
      <w:r>
        <w:rPr>
          <w:rFonts w:hint="eastAsia" w:eastAsia="仿宋_GB2312"/>
          <w:b/>
          <w:color w:val="000000"/>
          <w:sz w:val="28"/>
          <w:szCs w:val="28"/>
        </w:rPr>
        <w:t>三</w:t>
      </w:r>
      <w:r>
        <w:rPr>
          <w:rFonts w:eastAsia="仿宋_GB2312"/>
          <w:b/>
          <w:color w:val="000000"/>
          <w:sz w:val="28"/>
          <w:szCs w:val="28"/>
        </w:rPr>
        <w:t>条</w:t>
      </w:r>
      <w:r>
        <w:rPr>
          <w:rFonts w:eastAsia="仿宋_GB2312"/>
          <w:color w:val="000000"/>
          <w:sz w:val="28"/>
          <w:szCs w:val="28"/>
        </w:rPr>
        <w:t xml:space="preserve">  参与科研奖励评审活动的有关人员在评审活动中弄虚作假、徇私舞弊的，一经查实，将取消其相应的参与资格，并予以通报批评。</w:t>
      </w:r>
    </w:p>
    <w:p>
      <w:pPr>
        <w:spacing w:line="560" w:lineRule="exact"/>
        <w:jc w:val="center"/>
        <w:rPr>
          <w:rFonts w:ascii="黑体" w:hAnsi="黑体" w:eastAsia="黑体"/>
          <w:color w:val="000000"/>
          <w:sz w:val="28"/>
          <w:szCs w:val="28"/>
        </w:rPr>
      </w:pPr>
      <w:r>
        <w:rPr>
          <w:rFonts w:ascii="黑体" w:hAnsi="黑体" w:eastAsia="黑体"/>
          <w:color w:val="000000"/>
          <w:sz w:val="28"/>
          <w:szCs w:val="28"/>
        </w:rPr>
        <w:t>第六章  附则</w:t>
      </w:r>
    </w:p>
    <w:p>
      <w:pPr>
        <w:spacing w:line="560" w:lineRule="exact"/>
        <w:ind w:firstLine="562" w:firstLineChars="200"/>
        <w:rPr>
          <w:rFonts w:eastAsia="仿宋_GB2312"/>
          <w:color w:val="000000"/>
          <w:sz w:val="28"/>
          <w:szCs w:val="28"/>
        </w:rPr>
      </w:pPr>
      <w:r>
        <w:rPr>
          <w:rFonts w:eastAsia="仿宋_GB2312"/>
          <w:b/>
          <w:color w:val="000000"/>
          <w:sz w:val="28"/>
          <w:szCs w:val="28"/>
        </w:rPr>
        <w:t>第二十</w:t>
      </w:r>
      <w:r>
        <w:rPr>
          <w:rFonts w:hint="eastAsia" w:eastAsia="仿宋_GB2312"/>
          <w:b/>
          <w:color w:val="000000"/>
          <w:sz w:val="28"/>
          <w:szCs w:val="28"/>
        </w:rPr>
        <w:t>四</w:t>
      </w:r>
      <w:r>
        <w:rPr>
          <w:rFonts w:eastAsia="仿宋_GB2312"/>
          <w:b/>
          <w:color w:val="000000"/>
          <w:sz w:val="28"/>
          <w:szCs w:val="28"/>
        </w:rPr>
        <w:t>条</w:t>
      </w:r>
      <w:r>
        <w:rPr>
          <w:rFonts w:hint="eastAsia" w:eastAsia="仿宋_GB2312"/>
          <w:color w:val="000000"/>
          <w:sz w:val="28"/>
          <w:szCs w:val="28"/>
        </w:rPr>
        <w:t xml:space="preserve">  同一年度</w:t>
      </w:r>
      <w:r>
        <w:rPr>
          <w:rFonts w:eastAsia="仿宋_GB2312"/>
          <w:color w:val="000000"/>
          <w:sz w:val="28"/>
          <w:szCs w:val="28"/>
        </w:rPr>
        <w:t>科研项目立项奖</w:t>
      </w:r>
      <w:r>
        <w:rPr>
          <w:rFonts w:hint="eastAsia" w:eastAsia="仿宋_GB2312"/>
          <w:color w:val="000000"/>
          <w:sz w:val="28"/>
          <w:szCs w:val="28"/>
        </w:rPr>
        <w:t>励、</w:t>
      </w:r>
      <w:r>
        <w:rPr>
          <w:rFonts w:eastAsia="仿宋_GB2312"/>
          <w:color w:val="000000"/>
          <w:sz w:val="28"/>
          <w:szCs w:val="28"/>
        </w:rPr>
        <w:t>科研成果</w:t>
      </w:r>
      <w:r>
        <w:rPr>
          <w:rFonts w:hint="eastAsia" w:eastAsia="仿宋_GB2312"/>
          <w:color w:val="000000"/>
          <w:sz w:val="28"/>
          <w:szCs w:val="28"/>
        </w:rPr>
        <w:t>奖励等</w:t>
      </w:r>
      <w:r>
        <w:rPr>
          <w:rFonts w:eastAsia="仿宋_GB2312"/>
          <w:color w:val="000000"/>
          <w:sz w:val="28"/>
          <w:szCs w:val="28"/>
        </w:rPr>
        <w:t>有重复奖项时，</w:t>
      </w:r>
      <w:r>
        <w:rPr>
          <w:rFonts w:hint="eastAsia" w:eastAsia="仿宋_GB2312"/>
          <w:color w:val="000000"/>
          <w:sz w:val="28"/>
          <w:szCs w:val="28"/>
        </w:rPr>
        <w:t>只</w:t>
      </w:r>
      <w:r>
        <w:rPr>
          <w:rFonts w:eastAsia="仿宋_GB2312"/>
          <w:color w:val="000000"/>
          <w:sz w:val="28"/>
          <w:szCs w:val="28"/>
        </w:rPr>
        <w:t>按最高级别奖励一次。</w:t>
      </w:r>
    </w:p>
    <w:p>
      <w:pPr>
        <w:spacing w:line="560" w:lineRule="exact"/>
        <w:ind w:firstLine="562" w:firstLineChars="200"/>
        <w:rPr>
          <w:rFonts w:eastAsia="仿宋_GB2312"/>
          <w:color w:val="000000"/>
          <w:sz w:val="28"/>
          <w:szCs w:val="28"/>
        </w:rPr>
      </w:pPr>
      <w:r>
        <w:rPr>
          <w:rFonts w:eastAsia="仿宋_GB2312"/>
          <w:b/>
          <w:color w:val="000000"/>
          <w:sz w:val="28"/>
          <w:szCs w:val="28"/>
        </w:rPr>
        <w:t>第二十</w:t>
      </w:r>
      <w:r>
        <w:rPr>
          <w:rFonts w:hint="eastAsia" w:eastAsia="仿宋_GB2312"/>
          <w:b/>
          <w:color w:val="000000"/>
          <w:sz w:val="28"/>
          <w:szCs w:val="28"/>
        </w:rPr>
        <w:t>五</w:t>
      </w:r>
      <w:r>
        <w:rPr>
          <w:rFonts w:eastAsia="仿宋_GB2312"/>
          <w:b/>
          <w:color w:val="000000"/>
          <w:sz w:val="28"/>
          <w:szCs w:val="28"/>
        </w:rPr>
        <w:t>条</w:t>
      </w:r>
      <w:r>
        <w:rPr>
          <w:rFonts w:eastAsia="仿宋_GB2312"/>
          <w:color w:val="000000"/>
          <w:sz w:val="28"/>
          <w:szCs w:val="28"/>
        </w:rPr>
        <w:t xml:space="preserve">  本办法第二条规定之外的其他成果，不列入学校科研奖励范围，各二级学院</w:t>
      </w:r>
      <w:r>
        <w:rPr>
          <w:rFonts w:hint="eastAsia" w:eastAsia="仿宋_GB2312"/>
          <w:color w:val="000000"/>
          <w:sz w:val="28"/>
          <w:szCs w:val="28"/>
        </w:rPr>
        <w:t>（部）</w:t>
      </w:r>
      <w:r>
        <w:rPr>
          <w:rFonts w:eastAsia="仿宋_GB2312"/>
          <w:color w:val="000000"/>
          <w:sz w:val="28"/>
          <w:szCs w:val="28"/>
        </w:rPr>
        <w:t>可视具体情况自行制订奖励办法。</w:t>
      </w:r>
    </w:p>
    <w:p>
      <w:pPr>
        <w:spacing w:line="560" w:lineRule="exact"/>
        <w:ind w:firstLine="562" w:firstLineChars="200"/>
        <w:rPr>
          <w:rFonts w:hint="eastAsia" w:eastAsia="仿宋_GB2312"/>
          <w:color w:val="000000"/>
          <w:sz w:val="28"/>
          <w:szCs w:val="28"/>
        </w:rPr>
      </w:pPr>
      <w:r>
        <w:rPr>
          <w:rFonts w:eastAsia="仿宋_GB2312"/>
          <w:b/>
          <w:color w:val="000000"/>
          <w:sz w:val="28"/>
          <w:szCs w:val="28"/>
        </w:rPr>
        <w:t>第</w:t>
      </w:r>
      <w:r>
        <w:rPr>
          <w:rFonts w:hint="eastAsia" w:eastAsia="仿宋_GB2312"/>
          <w:b/>
          <w:color w:val="000000"/>
          <w:sz w:val="28"/>
          <w:szCs w:val="28"/>
        </w:rPr>
        <w:t>二</w:t>
      </w:r>
      <w:r>
        <w:rPr>
          <w:rFonts w:eastAsia="仿宋_GB2312"/>
          <w:b/>
          <w:color w:val="000000"/>
          <w:sz w:val="28"/>
          <w:szCs w:val="28"/>
        </w:rPr>
        <w:t>十</w:t>
      </w:r>
      <w:r>
        <w:rPr>
          <w:rFonts w:hint="eastAsia" w:eastAsia="仿宋_GB2312"/>
          <w:b/>
          <w:color w:val="000000"/>
          <w:sz w:val="28"/>
          <w:szCs w:val="28"/>
        </w:rPr>
        <w:t>六</w:t>
      </w:r>
      <w:r>
        <w:rPr>
          <w:rFonts w:eastAsia="仿宋_GB2312"/>
          <w:b/>
          <w:color w:val="000000"/>
          <w:sz w:val="28"/>
          <w:szCs w:val="28"/>
        </w:rPr>
        <w:t>条</w:t>
      </w:r>
      <w:r>
        <w:rPr>
          <w:rFonts w:eastAsia="仿宋_GB2312"/>
          <w:color w:val="000000"/>
          <w:sz w:val="28"/>
          <w:szCs w:val="28"/>
        </w:rPr>
        <w:t xml:space="preserve">  附件</w:t>
      </w:r>
      <w:r>
        <w:rPr>
          <w:rFonts w:hint="eastAsia" w:eastAsia="仿宋_GB2312"/>
          <w:color w:val="000000"/>
          <w:sz w:val="28"/>
          <w:szCs w:val="28"/>
        </w:rPr>
        <w:t>一</w:t>
      </w:r>
      <w:r>
        <w:rPr>
          <w:rFonts w:eastAsia="仿宋_GB2312"/>
          <w:color w:val="000000"/>
          <w:sz w:val="28"/>
          <w:szCs w:val="28"/>
        </w:rPr>
        <w:t>中认定的A类奖励期刊，在本文件执行周期内根据北京大学中文核心期刊目录及南京大学CSSCI来源期刊目录变化</w:t>
      </w:r>
      <w:r>
        <w:rPr>
          <w:rFonts w:hint="eastAsia" w:eastAsia="仿宋_GB2312"/>
          <w:color w:val="000000"/>
          <w:sz w:val="28"/>
          <w:szCs w:val="28"/>
        </w:rPr>
        <w:t>将及时</w:t>
      </w:r>
      <w:r>
        <w:rPr>
          <w:rFonts w:eastAsia="仿宋_GB2312"/>
          <w:color w:val="000000"/>
          <w:sz w:val="28"/>
          <w:szCs w:val="28"/>
        </w:rPr>
        <w:t>作出</w:t>
      </w:r>
      <w:r>
        <w:rPr>
          <w:rFonts w:hint="eastAsia" w:eastAsia="仿宋_GB2312"/>
          <w:color w:val="000000"/>
          <w:sz w:val="28"/>
          <w:szCs w:val="28"/>
        </w:rPr>
        <w:t>一些</w:t>
      </w:r>
      <w:r>
        <w:rPr>
          <w:rFonts w:eastAsia="仿宋_GB2312"/>
          <w:color w:val="000000"/>
          <w:sz w:val="28"/>
          <w:szCs w:val="28"/>
        </w:rPr>
        <w:t>调整，并发文公布。</w:t>
      </w:r>
    </w:p>
    <w:p>
      <w:pPr>
        <w:spacing w:line="560" w:lineRule="exact"/>
        <w:ind w:firstLine="562" w:firstLineChars="200"/>
        <w:rPr>
          <w:rFonts w:hint="eastAsia" w:eastAsia="仿宋_GB2312"/>
          <w:b/>
          <w:color w:val="000000"/>
          <w:sz w:val="28"/>
          <w:szCs w:val="28"/>
        </w:rPr>
      </w:pPr>
      <w:r>
        <w:rPr>
          <w:rFonts w:eastAsia="仿宋_GB2312"/>
          <w:b/>
          <w:color w:val="000000"/>
          <w:sz w:val="28"/>
          <w:szCs w:val="28"/>
        </w:rPr>
        <w:t>第</w:t>
      </w:r>
      <w:r>
        <w:rPr>
          <w:rFonts w:hint="eastAsia" w:eastAsia="仿宋_GB2312"/>
          <w:b/>
          <w:color w:val="000000"/>
          <w:sz w:val="28"/>
          <w:szCs w:val="28"/>
        </w:rPr>
        <w:t>二十七</w:t>
      </w:r>
      <w:r>
        <w:rPr>
          <w:rFonts w:eastAsia="仿宋_GB2312"/>
          <w:b/>
          <w:color w:val="000000"/>
          <w:sz w:val="28"/>
          <w:szCs w:val="28"/>
        </w:rPr>
        <w:t>条</w:t>
      </w:r>
      <w:r>
        <w:rPr>
          <w:rFonts w:hint="eastAsia" w:eastAsia="仿宋_GB2312"/>
          <w:b/>
          <w:color w:val="000000"/>
          <w:sz w:val="28"/>
          <w:szCs w:val="28"/>
        </w:rPr>
        <w:t xml:space="preserve">  </w:t>
      </w:r>
      <w:r>
        <w:rPr>
          <w:rFonts w:hint="eastAsia" w:eastAsia="仿宋_GB2312"/>
          <w:color w:val="000000"/>
          <w:sz w:val="28"/>
          <w:szCs w:val="28"/>
        </w:rPr>
        <w:t>如教师同一年度科研奖励的总金额较大，可以选择申请学校科研基金项目的形式获得等金额奖励，其项目经费的使用按照《</w:t>
      </w:r>
      <w:r>
        <w:rPr>
          <w:rFonts w:eastAsia="仿宋_GB2312"/>
          <w:color w:val="000000"/>
          <w:sz w:val="28"/>
          <w:szCs w:val="28"/>
        </w:rPr>
        <w:t>常州工学院科研基金项目管理办法</w:t>
      </w:r>
      <w:r>
        <w:rPr>
          <w:rFonts w:hint="eastAsia" w:eastAsia="仿宋_GB2312"/>
          <w:color w:val="000000"/>
          <w:sz w:val="28"/>
          <w:szCs w:val="28"/>
        </w:rPr>
        <w:t>（</w:t>
      </w:r>
      <w:r>
        <w:rPr>
          <w:rFonts w:eastAsia="仿宋_GB2312"/>
          <w:color w:val="000000"/>
          <w:sz w:val="28"/>
          <w:szCs w:val="28"/>
        </w:rPr>
        <w:t>试行</w:t>
      </w:r>
      <w:r>
        <w:rPr>
          <w:rFonts w:hint="eastAsia" w:eastAsia="仿宋_GB2312"/>
          <w:color w:val="000000"/>
          <w:sz w:val="28"/>
          <w:szCs w:val="28"/>
        </w:rPr>
        <w:t>）》的规定执行。</w:t>
      </w:r>
    </w:p>
    <w:p>
      <w:pPr>
        <w:spacing w:line="560" w:lineRule="exact"/>
        <w:ind w:firstLine="562" w:firstLineChars="200"/>
        <w:rPr>
          <w:rFonts w:hint="eastAsia" w:eastAsia="仿宋_GB2312"/>
          <w:b/>
          <w:color w:val="000000"/>
          <w:sz w:val="28"/>
          <w:szCs w:val="28"/>
        </w:rPr>
      </w:pPr>
      <w:r>
        <w:rPr>
          <w:rFonts w:eastAsia="仿宋_GB2312"/>
          <w:b/>
          <w:color w:val="000000"/>
          <w:sz w:val="28"/>
          <w:szCs w:val="28"/>
        </w:rPr>
        <w:t>第</w:t>
      </w:r>
      <w:r>
        <w:rPr>
          <w:rFonts w:hint="eastAsia" w:eastAsia="仿宋_GB2312"/>
          <w:b/>
          <w:color w:val="000000"/>
          <w:sz w:val="28"/>
          <w:szCs w:val="28"/>
        </w:rPr>
        <w:t>二</w:t>
      </w:r>
      <w:r>
        <w:rPr>
          <w:rFonts w:eastAsia="仿宋_GB2312"/>
          <w:b/>
          <w:color w:val="000000"/>
          <w:sz w:val="28"/>
          <w:szCs w:val="28"/>
        </w:rPr>
        <w:t>十</w:t>
      </w:r>
      <w:r>
        <w:rPr>
          <w:rFonts w:hint="eastAsia" w:eastAsia="仿宋_GB2312"/>
          <w:b/>
          <w:color w:val="000000"/>
          <w:sz w:val="28"/>
          <w:szCs w:val="28"/>
        </w:rPr>
        <w:t>八</w:t>
      </w:r>
      <w:r>
        <w:rPr>
          <w:rFonts w:eastAsia="仿宋_GB2312"/>
          <w:b/>
          <w:color w:val="000000"/>
          <w:sz w:val="28"/>
          <w:szCs w:val="28"/>
        </w:rPr>
        <w:t>条</w:t>
      </w:r>
      <w:r>
        <w:rPr>
          <w:rFonts w:hint="eastAsia" w:eastAsia="仿宋_GB2312"/>
          <w:b/>
          <w:color w:val="000000"/>
          <w:sz w:val="28"/>
          <w:szCs w:val="28"/>
        </w:rPr>
        <w:t xml:space="preserve">  </w:t>
      </w:r>
      <w:r>
        <w:rPr>
          <w:rFonts w:hint="eastAsia" w:eastAsia="仿宋_GB2312"/>
          <w:color w:val="000000"/>
          <w:sz w:val="28"/>
          <w:szCs w:val="28"/>
        </w:rPr>
        <w:t>按照原奖励办法奖励过的任何奖项均不予补发。对于2018年1月1日以后正常结题验收（符合合同书验收时间规定）的科研基地、纵向科研项目，其项目通过验收奖励（结题奖励）按照原办法执行。</w:t>
      </w:r>
    </w:p>
    <w:p>
      <w:pPr>
        <w:spacing w:line="560" w:lineRule="exact"/>
        <w:ind w:firstLine="562" w:firstLineChars="200"/>
        <w:rPr>
          <w:rFonts w:eastAsia="仿宋_GB2312"/>
          <w:color w:val="000000"/>
          <w:sz w:val="28"/>
          <w:szCs w:val="28"/>
        </w:rPr>
        <w:sectPr>
          <w:footerReference r:id="rId3" w:type="default"/>
          <w:pgSz w:w="11906" w:h="16838"/>
          <w:pgMar w:top="1440" w:right="1800" w:bottom="1440" w:left="1800" w:header="851" w:footer="992" w:gutter="0"/>
          <w:cols w:space="720" w:num="1"/>
          <w:docGrid w:type="lines" w:linePitch="312" w:charSpace="0"/>
        </w:sectPr>
      </w:pPr>
      <w:r>
        <w:rPr>
          <w:rFonts w:eastAsia="仿宋_GB2312"/>
          <w:b/>
          <w:color w:val="000000"/>
          <w:sz w:val="28"/>
          <w:szCs w:val="28"/>
        </w:rPr>
        <w:t>第</w:t>
      </w:r>
      <w:r>
        <w:rPr>
          <w:rFonts w:hint="eastAsia" w:eastAsia="仿宋_GB2312"/>
          <w:b/>
          <w:color w:val="000000"/>
          <w:sz w:val="28"/>
          <w:szCs w:val="28"/>
        </w:rPr>
        <w:t>二十九</w:t>
      </w:r>
      <w:r>
        <w:rPr>
          <w:rFonts w:eastAsia="仿宋_GB2312"/>
          <w:b/>
          <w:color w:val="000000"/>
          <w:sz w:val="28"/>
          <w:szCs w:val="28"/>
        </w:rPr>
        <w:t>条</w:t>
      </w:r>
      <w:r>
        <w:rPr>
          <w:rFonts w:eastAsia="仿宋_GB2312"/>
          <w:color w:val="000000"/>
          <w:sz w:val="28"/>
          <w:szCs w:val="28"/>
        </w:rPr>
        <w:t xml:space="preserve">  本</w:t>
      </w:r>
      <w:r>
        <w:rPr>
          <w:rFonts w:hint="eastAsia" w:eastAsia="仿宋_GB2312"/>
          <w:color w:val="000000"/>
          <w:sz w:val="28"/>
          <w:szCs w:val="28"/>
        </w:rPr>
        <w:t>奖励</w:t>
      </w:r>
      <w:r>
        <w:rPr>
          <w:rFonts w:eastAsia="仿宋_GB2312"/>
          <w:color w:val="000000"/>
          <w:sz w:val="28"/>
          <w:szCs w:val="28"/>
        </w:rPr>
        <w:t>办法由科研处负责解释，自</w:t>
      </w:r>
      <w:r>
        <w:rPr>
          <w:rFonts w:hint="eastAsia" w:eastAsia="仿宋_GB2312"/>
          <w:color w:val="000000"/>
          <w:sz w:val="28"/>
          <w:szCs w:val="28"/>
        </w:rPr>
        <w:t>2018年1月1日</w:t>
      </w:r>
      <w:r>
        <w:rPr>
          <w:rFonts w:eastAsia="仿宋_GB2312"/>
          <w:color w:val="000000"/>
          <w:sz w:val="28"/>
          <w:szCs w:val="28"/>
        </w:rPr>
        <w:t>起</w:t>
      </w:r>
      <w:r>
        <w:rPr>
          <w:rFonts w:hint="eastAsia" w:eastAsia="仿宋_GB2312"/>
          <w:color w:val="000000"/>
          <w:sz w:val="28"/>
          <w:szCs w:val="28"/>
        </w:rPr>
        <w:t>执行</w:t>
      </w:r>
      <w:r>
        <w:rPr>
          <w:rFonts w:eastAsia="仿宋_GB2312"/>
          <w:color w:val="000000"/>
          <w:sz w:val="28"/>
          <w:szCs w:val="28"/>
        </w:rPr>
        <w:t>。</w:t>
      </w:r>
    </w:p>
    <w:p>
      <w:pPr>
        <w:spacing w:line="560" w:lineRule="exact"/>
        <w:rPr>
          <w:rFonts w:hint="eastAsia" w:ascii="黑体" w:hAnsi="黑体" w:eastAsia="黑体"/>
          <w:color w:val="000000"/>
          <w:sz w:val="28"/>
          <w:szCs w:val="28"/>
        </w:rPr>
      </w:pPr>
      <w:r>
        <w:rPr>
          <w:rFonts w:hint="eastAsia" w:ascii="黑体" w:hAnsi="黑体" w:eastAsia="黑体"/>
          <w:color w:val="000000"/>
          <w:sz w:val="28"/>
          <w:szCs w:val="28"/>
        </w:rPr>
        <w:t>附件</w:t>
      </w:r>
      <w:bookmarkStart w:id="1" w:name="_GoBack"/>
      <w:bookmarkEnd w:id="1"/>
      <w:r>
        <w:rPr>
          <w:rFonts w:hint="eastAsia" w:ascii="黑体" w:hAnsi="黑体" w:eastAsia="黑体"/>
          <w:color w:val="000000"/>
          <w:sz w:val="28"/>
          <w:szCs w:val="28"/>
        </w:rPr>
        <w:t xml:space="preserve">一    </w:t>
      </w:r>
    </w:p>
    <w:p>
      <w:pPr>
        <w:spacing w:line="560" w:lineRule="exact"/>
        <w:jc w:val="center"/>
        <w:rPr>
          <w:rFonts w:hint="eastAsia" w:ascii="黑体" w:hAnsi="黑体" w:eastAsia="黑体"/>
          <w:color w:val="000000"/>
          <w:sz w:val="28"/>
          <w:szCs w:val="28"/>
        </w:rPr>
      </w:pPr>
      <w:r>
        <w:rPr>
          <w:rFonts w:hint="eastAsia" w:ascii="黑体" w:hAnsi="黑体" w:eastAsia="黑体"/>
          <w:color w:val="000000"/>
          <w:sz w:val="28"/>
          <w:szCs w:val="28"/>
        </w:rPr>
        <w:t>常州工学院科研奖励期刊目录</w:t>
      </w:r>
    </w:p>
    <w:p>
      <w:pPr>
        <w:spacing w:line="440" w:lineRule="exact"/>
        <w:rPr>
          <w:rFonts w:hint="eastAsia" w:ascii="仿宋_GB2312" w:hAnsi="华文中宋" w:eastAsia="仿宋_GB2312"/>
          <w:b/>
          <w:color w:val="000000"/>
          <w:sz w:val="24"/>
        </w:rPr>
      </w:pPr>
    </w:p>
    <w:p>
      <w:pPr>
        <w:spacing w:line="440" w:lineRule="exact"/>
        <w:rPr>
          <w:rFonts w:hint="eastAsia" w:ascii="仿宋_GB2312" w:hAnsi="华文中宋" w:eastAsia="仿宋_GB2312"/>
          <w:b/>
          <w:color w:val="000000"/>
          <w:sz w:val="24"/>
        </w:rPr>
      </w:pPr>
      <w:r>
        <w:rPr>
          <w:rFonts w:hint="eastAsia" w:ascii="仿宋_GB2312" w:hAnsi="华文中宋" w:eastAsia="仿宋_GB2312"/>
          <w:b/>
          <w:color w:val="000000"/>
          <w:sz w:val="24"/>
        </w:rPr>
        <w:t>A类期刊（共</w:t>
      </w:r>
      <w:r>
        <w:rPr>
          <w:rFonts w:ascii="仿宋_GB2312" w:hAnsi="华文中宋" w:eastAsia="仿宋_GB2312"/>
          <w:b/>
          <w:color w:val="000000"/>
          <w:sz w:val="24"/>
        </w:rPr>
        <w:t>1</w:t>
      </w:r>
      <w:r>
        <w:rPr>
          <w:rFonts w:hint="eastAsia" w:ascii="仿宋_GB2312" w:hAnsi="华文中宋" w:eastAsia="仿宋_GB2312"/>
          <w:b/>
          <w:color w:val="000000"/>
          <w:sz w:val="24"/>
        </w:rPr>
        <w:t>10种）：</w:t>
      </w:r>
    </w:p>
    <w:p>
      <w:pPr>
        <w:spacing w:line="440" w:lineRule="exact"/>
        <w:rPr>
          <w:rFonts w:hint="eastAsia" w:ascii="仿宋_GB2312" w:hAnsi="华文中宋" w:eastAsia="仿宋_GB2312"/>
          <w:b/>
          <w:color w:val="000000"/>
          <w:sz w:val="24"/>
        </w:rPr>
      </w:pPr>
      <w:r>
        <w:rPr>
          <w:rFonts w:hint="eastAsia" w:ascii="仿宋_GB2312" w:hAnsi="华文中宋" w:eastAsia="仿宋_GB2312"/>
          <w:b/>
          <w:color w:val="000000"/>
          <w:sz w:val="24"/>
        </w:rPr>
        <w:t>一、理工类专业期刊（</w:t>
      </w:r>
      <w:r>
        <w:rPr>
          <w:rFonts w:ascii="仿宋_GB2312" w:hAnsi="华文中宋" w:eastAsia="仿宋_GB2312"/>
          <w:b/>
          <w:color w:val="000000"/>
          <w:sz w:val="24"/>
        </w:rPr>
        <w:t>5</w:t>
      </w:r>
      <w:r>
        <w:rPr>
          <w:rFonts w:hint="eastAsia" w:ascii="仿宋_GB2312" w:hAnsi="华文中宋" w:eastAsia="仿宋_GB2312"/>
          <w:b/>
          <w:color w:val="000000"/>
          <w:sz w:val="24"/>
        </w:rPr>
        <w:t>7种）</w:t>
      </w:r>
    </w:p>
    <w:p>
      <w:pPr>
        <w:spacing w:line="440" w:lineRule="exact"/>
        <w:ind w:firstLine="480" w:firstLineChars="200"/>
        <w:rPr>
          <w:rFonts w:ascii="仿宋_GB2312" w:hAnsi="华文中宋" w:eastAsia="仿宋_GB2312"/>
          <w:color w:val="000000"/>
          <w:sz w:val="24"/>
        </w:rPr>
      </w:pPr>
      <w:r>
        <w:rPr>
          <w:rFonts w:hint="eastAsia" w:ascii="仿宋_GB2312" w:hAnsi="华文中宋" w:eastAsia="仿宋_GB2312"/>
          <w:color w:val="000000"/>
          <w:sz w:val="24"/>
        </w:rPr>
        <w:t>城市规划学刊，岩石力学与工程学报，岩土工程学报，土木工程学报，建筑结构学报，中国公路学报，工程管理学报，建筑材料学报，中国电机工程学报，电力系统保护与控制，电力系统自动化，电网技术，电工技术学报，高电压技术，仪器仪表学报，自动化学报，控制与决策，控制工程，控制理论与应用，模式识别与人工智能，电子学报，半导体学报，通信学报，系统仿真学报，机械工程学报，中国机械工程，摩擦学学报，机电工程，力学学报，流体机械学报，航空学报，中国图象图形学报，计算机学报，软件学报，计算机研究与发展，计算机科学与技术（英文版），计算机集成制造系统，计算机辅助设计与图形学学报，数学学报，数学物理学报，计算数学，应用数学学报，数学进展，分子催化，分析化学，化学学报，化学进展，应用科学学报，物理学报，中国科学，中国科学院院刊，科学通报，中国光学，中国激光，光学学报，系统工程理论与实践，系统工程学报</w:t>
      </w:r>
    </w:p>
    <w:p>
      <w:pPr>
        <w:spacing w:line="440" w:lineRule="exact"/>
        <w:rPr>
          <w:rFonts w:hint="eastAsia" w:ascii="仿宋_GB2312" w:hAnsi="宋体" w:eastAsia="仿宋_GB2312"/>
          <w:b/>
          <w:color w:val="000000"/>
          <w:sz w:val="24"/>
        </w:rPr>
      </w:pPr>
      <w:r>
        <w:rPr>
          <w:rFonts w:hint="eastAsia" w:ascii="仿宋_GB2312" w:hAnsi="宋体" w:eastAsia="仿宋_GB2312"/>
          <w:b/>
          <w:color w:val="000000"/>
          <w:sz w:val="24"/>
        </w:rPr>
        <w:t>二、社科类专业期刊（</w:t>
      </w:r>
      <w:r>
        <w:rPr>
          <w:rFonts w:ascii="仿宋_GB2312" w:hAnsi="宋体" w:eastAsia="仿宋_GB2312"/>
          <w:b/>
          <w:color w:val="000000"/>
          <w:sz w:val="24"/>
        </w:rPr>
        <w:t>53</w:t>
      </w:r>
      <w:r>
        <w:rPr>
          <w:rFonts w:hint="eastAsia" w:ascii="仿宋_GB2312" w:hAnsi="宋体" w:eastAsia="仿宋_GB2312"/>
          <w:b/>
          <w:color w:val="000000"/>
          <w:sz w:val="24"/>
        </w:rPr>
        <w:t>种）</w:t>
      </w:r>
    </w:p>
    <w:p>
      <w:pPr>
        <w:spacing w:line="440" w:lineRule="exact"/>
        <w:ind w:firstLine="420"/>
        <w:rPr>
          <w:rFonts w:ascii="仿宋_GB2312" w:hAnsi="华文中宋" w:eastAsia="仿宋_GB2312"/>
          <w:color w:val="000000"/>
          <w:sz w:val="24"/>
        </w:rPr>
      </w:pPr>
      <w:r>
        <w:rPr>
          <w:rFonts w:hint="eastAsia" w:ascii="仿宋_GB2312" w:hAnsi="华文中宋" w:eastAsia="仿宋_GB2312"/>
          <w:color w:val="000000"/>
          <w:sz w:val="24"/>
        </w:rPr>
        <w:t>北京大学学报(哲学社会科学版)、中国人民大学学报、南京大学学报(哲学</w:t>
      </w:r>
      <w:r>
        <w:rPr>
          <w:rFonts w:hint="eastAsia" w:ascii="宋体" w:hAnsi="宋体" w:cs="宋体"/>
          <w:color w:val="000000"/>
          <w:sz w:val="24"/>
        </w:rPr>
        <w:t>•</w:t>
      </w:r>
      <w:r>
        <w:rPr>
          <w:rFonts w:hint="eastAsia" w:ascii="仿宋" w:hAnsi="仿宋" w:eastAsia="仿宋" w:cs="仿宋"/>
          <w:color w:val="000000"/>
          <w:sz w:val="24"/>
        </w:rPr>
        <w:t>人文科学</w:t>
      </w:r>
      <w:r>
        <w:rPr>
          <w:rFonts w:hint="eastAsia" w:ascii="宋体" w:hAnsi="宋体" w:cs="宋体"/>
          <w:color w:val="000000"/>
          <w:sz w:val="24"/>
        </w:rPr>
        <w:t>•</w:t>
      </w:r>
      <w:r>
        <w:rPr>
          <w:rFonts w:hint="eastAsia" w:ascii="仿宋" w:hAnsi="仿宋" w:eastAsia="仿宋" w:cs="仿宋"/>
          <w:color w:val="000000"/>
          <w:sz w:val="24"/>
        </w:rPr>
        <w:t>社会科学）、</w:t>
      </w:r>
      <w:r>
        <w:rPr>
          <w:rFonts w:hint="eastAsia" w:ascii="仿宋_GB2312" w:hAnsi="华文中宋" w:eastAsia="仿宋_GB2312"/>
          <w:color w:val="000000"/>
          <w:sz w:val="24"/>
        </w:rPr>
        <w:t>马克思主义研究、马克思主义与现实、中国特色社会主义研究、管理世界、南开管理评论、公共管理学报、管理科学学报、哲学动态、哲学研究、自然辩证法研究、汉语学报、当代语言学、中国语文、世界汉语教学、外语教学与研究、外语界、中国翻译、外国文学评论、文学评论、文艺研究、美术研究、南京艺术学院学报(美术与设计版）、音乐研究、中央音乐学院学报、经济研究、经济学（季刊）、会计研究、金融研究、国际金融研究、农业经济问题、审计研究、中国工业经济、中国农村经济、世界经济、政治学研究、历史研究、近代史研究、中国法学、法学研究、统计研究、心理学报、新闻与传播研究、中国图书馆学报、教育研究、高等教育研究、体育科学、上海体育学院学报、社会学研究、人口研究、地理学报</w:t>
      </w:r>
    </w:p>
    <w:p>
      <w:pPr>
        <w:spacing w:line="440" w:lineRule="exact"/>
        <w:ind w:firstLine="420"/>
        <w:rPr>
          <w:rFonts w:ascii="仿宋_GB2312" w:hAnsi="华文中宋" w:eastAsia="仿宋_GB2312"/>
          <w:color w:val="000000"/>
          <w:sz w:val="24"/>
        </w:rPr>
      </w:pPr>
    </w:p>
    <w:p>
      <w:pPr>
        <w:spacing w:line="560" w:lineRule="exact"/>
        <w:rPr>
          <w:rFonts w:ascii="仿宋_GB2312" w:hAnsi="宋体" w:eastAsia="仿宋_GB2312"/>
          <w:color w:val="000000"/>
          <w:sz w:val="28"/>
          <w:szCs w:val="28"/>
        </w:rPr>
        <w:sectPr>
          <w:pgSz w:w="11906" w:h="16838"/>
          <w:pgMar w:top="1440" w:right="1800" w:bottom="1440" w:left="1800" w:header="851" w:footer="992" w:gutter="0"/>
          <w:cols w:space="720" w:num="1"/>
          <w:docGrid w:type="lines" w:linePitch="312" w:charSpace="0"/>
        </w:sectPr>
      </w:pPr>
    </w:p>
    <w:p>
      <w:pPr>
        <w:spacing w:line="560" w:lineRule="exact"/>
        <w:rPr>
          <w:rFonts w:hint="eastAsia" w:ascii="黑体" w:hAnsi="黑体" w:eastAsia="黑体"/>
          <w:color w:val="000000"/>
          <w:sz w:val="28"/>
          <w:szCs w:val="28"/>
        </w:rPr>
      </w:pPr>
      <w:r>
        <w:rPr>
          <w:rFonts w:hint="eastAsia" w:ascii="黑体" w:hAnsi="黑体" w:eastAsia="黑体"/>
          <w:color w:val="000000"/>
          <w:sz w:val="28"/>
          <w:szCs w:val="28"/>
        </w:rPr>
        <w:t>附件二</w:t>
      </w:r>
    </w:p>
    <w:p>
      <w:pPr>
        <w:spacing w:line="560" w:lineRule="exact"/>
        <w:jc w:val="center"/>
        <w:rPr>
          <w:rFonts w:hint="eastAsia" w:ascii="黑体" w:hAnsi="黑体" w:eastAsia="黑体"/>
          <w:color w:val="000000"/>
          <w:sz w:val="28"/>
          <w:szCs w:val="28"/>
        </w:rPr>
      </w:pPr>
      <w:r>
        <w:rPr>
          <w:rFonts w:hint="eastAsia" w:ascii="黑体" w:hAnsi="黑体" w:eastAsia="黑体"/>
          <w:color w:val="000000"/>
          <w:sz w:val="28"/>
          <w:szCs w:val="28"/>
        </w:rPr>
        <w:t>科研奖励说明</w:t>
      </w:r>
    </w:p>
    <w:p>
      <w:pPr>
        <w:snapToGrid w:val="0"/>
        <w:spacing w:line="560" w:lineRule="exact"/>
        <w:ind w:firstLine="573"/>
        <w:rPr>
          <w:rFonts w:hint="eastAsia" w:ascii="仿宋" w:hAnsi="仿宋" w:eastAsia="仿宋" w:cs="宋体"/>
          <w:b/>
          <w:color w:val="000000"/>
          <w:kern w:val="0"/>
          <w:sz w:val="24"/>
        </w:rPr>
      </w:pPr>
      <w:r>
        <w:rPr>
          <w:rFonts w:hint="eastAsia" w:ascii="仿宋" w:hAnsi="仿宋" w:eastAsia="仿宋" w:cs="宋体"/>
          <w:b/>
          <w:color w:val="000000"/>
          <w:kern w:val="0"/>
          <w:sz w:val="24"/>
        </w:rPr>
        <w:t>一、科研基地奖励相关说明</w:t>
      </w:r>
    </w:p>
    <w:p>
      <w:pPr>
        <w:snapToGrid w:val="0"/>
        <w:spacing w:line="560" w:lineRule="exact"/>
        <w:ind w:firstLine="480" w:firstLineChars="200"/>
        <w:rPr>
          <w:rFonts w:ascii="仿宋" w:hAnsi="仿宋" w:eastAsia="仿宋" w:cs="宋体"/>
          <w:color w:val="000000"/>
          <w:kern w:val="0"/>
          <w:sz w:val="24"/>
        </w:rPr>
      </w:pPr>
      <w:r>
        <w:rPr>
          <w:rFonts w:eastAsia="仿宋"/>
          <w:color w:val="000000"/>
          <w:kern w:val="0"/>
          <w:sz w:val="24"/>
        </w:rPr>
        <w:t>1</w:t>
      </w:r>
      <w:r>
        <w:rPr>
          <w:rFonts w:ascii="仿宋" w:hAnsi="仿宋" w:eastAsia="仿宋" w:cs="宋体"/>
          <w:color w:val="000000"/>
          <w:kern w:val="0"/>
          <w:sz w:val="24"/>
        </w:rPr>
        <w:t>.我校作为第二单位与外单位联合申报的省部级及以上科研基地，奖励金额按50%予以奖励。</w:t>
      </w:r>
    </w:p>
    <w:p>
      <w:pPr>
        <w:snapToGrid w:val="0"/>
        <w:spacing w:line="560" w:lineRule="exact"/>
        <w:ind w:firstLine="573"/>
        <w:rPr>
          <w:rFonts w:ascii="仿宋" w:hAnsi="仿宋" w:eastAsia="仿宋" w:cs="宋体"/>
          <w:color w:val="000000"/>
          <w:kern w:val="0"/>
          <w:sz w:val="24"/>
        </w:rPr>
      </w:pPr>
      <w:r>
        <w:rPr>
          <w:rFonts w:eastAsia="仿宋"/>
          <w:color w:val="000000"/>
          <w:kern w:val="0"/>
          <w:sz w:val="24"/>
        </w:rPr>
        <w:t>2</w:t>
      </w:r>
      <w:r>
        <w:rPr>
          <w:rFonts w:ascii="仿宋" w:hAnsi="仿宋" w:eastAsia="仿宋" w:cs="宋体"/>
          <w:color w:val="000000"/>
          <w:kern w:val="0"/>
          <w:sz w:val="24"/>
        </w:rPr>
        <w:t>.各类科研基地奖励的总金额上限（项目立项奖励和项目通过验收奖励之和）不能高于该基地获批到账经费的总额。</w:t>
      </w:r>
    </w:p>
    <w:p>
      <w:pPr>
        <w:snapToGrid w:val="0"/>
        <w:spacing w:line="560" w:lineRule="exact"/>
        <w:ind w:firstLine="573"/>
        <w:rPr>
          <w:rFonts w:ascii="仿宋" w:hAnsi="仿宋" w:eastAsia="仿宋" w:cs="宋体"/>
          <w:color w:val="000000"/>
          <w:kern w:val="0"/>
          <w:sz w:val="24"/>
        </w:rPr>
      </w:pPr>
      <w:r>
        <w:rPr>
          <w:rFonts w:eastAsia="仿宋"/>
          <w:color w:val="000000"/>
          <w:kern w:val="0"/>
          <w:sz w:val="24"/>
        </w:rPr>
        <w:t>3</w:t>
      </w:r>
      <w:r>
        <w:rPr>
          <w:rFonts w:ascii="仿宋" w:hAnsi="仿宋" w:eastAsia="仿宋" w:cs="宋体"/>
          <w:color w:val="000000"/>
          <w:kern w:val="0"/>
          <w:sz w:val="24"/>
        </w:rPr>
        <w:t>.奖励金额根据各类科研基地的验收结果调节，以“优秀”通过验收的，按</w:t>
      </w:r>
      <w:r>
        <w:rPr>
          <w:rFonts w:eastAsia="仿宋"/>
          <w:color w:val="000000"/>
          <w:kern w:val="0"/>
          <w:sz w:val="24"/>
        </w:rPr>
        <w:t>150%予</w:t>
      </w:r>
      <w:r>
        <w:rPr>
          <w:rFonts w:ascii="仿宋" w:hAnsi="仿宋" w:eastAsia="仿宋" w:cs="宋体"/>
          <w:color w:val="000000"/>
          <w:kern w:val="0"/>
          <w:sz w:val="24"/>
        </w:rPr>
        <w:t>以奖励；以“良好”通过验收的，按</w:t>
      </w:r>
      <w:r>
        <w:rPr>
          <w:rFonts w:eastAsia="仿宋"/>
          <w:color w:val="000000"/>
          <w:kern w:val="0"/>
          <w:sz w:val="24"/>
        </w:rPr>
        <w:t>120%予</w:t>
      </w:r>
      <w:r>
        <w:rPr>
          <w:rFonts w:ascii="仿宋" w:hAnsi="仿宋" w:eastAsia="仿宋" w:cs="宋体"/>
          <w:color w:val="000000"/>
          <w:kern w:val="0"/>
          <w:sz w:val="24"/>
        </w:rPr>
        <w:t>以奖励；以“合格”通过验收的，按</w:t>
      </w:r>
      <w:r>
        <w:rPr>
          <w:rFonts w:eastAsia="仿宋"/>
          <w:color w:val="000000"/>
          <w:kern w:val="0"/>
          <w:sz w:val="24"/>
        </w:rPr>
        <w:t>100%予</w:t>
      </w:r>
      <w:r>
        <w:rPr>
          <w:rFonts w:ascii="仿宋" w:hAnsi="仿宋" w:eastAsia="仿宋" w:cs="宋体"/>
          <w:color w:val="000000"/>
          <w:kern w:val="0"/>
          <w:sz w:val="24"/>
        </w:rPr>
        <w:t>以奖励；验收不合格或延迟验收的，则不予奖励。</w:t>
      </w:r>
    </w:p>
    <w:p>
      <w:pPr>
        <w:snapToGrid w:val="0"/>
        <w:spacing w:line="560" w:lineRule="exact"/>
        <w:ind w:firstLine="480"/>
        <w:rPr>
          <w:rFonts w:hint="eastAsia" w:ascii="仿宋" w:hAnsi="仿宋" w:eastAsia="仿宋" w:cs="宋体"/>
          <w:color w:val="000000"/>
          <w:kern w:val="0"/>
          <w:sz w:val="24"/>
        </w:rPr>
      </w:pPr>
      <w:r>
        <w:rPr>
          <w:rFonts w:hint="eastAsia" w:ascii="仿宋" w:hAnsi="仿宋" w:eastAsia="仿宋" w:cs="宋体"/>
          <w:color w:val="000000"/>
          <w:kern w:val="0"/>
          <w:sz w:val="24"/>
        </w:rPr>
        <w:t>二、</w:t>
      </w:r>
      <w:r>
        <w:rPr>
          <w:rFonts w:hint="eastAsia" w:ascii="仿宋" w:hAnsi="仿宋" w:eastAsia="仿宋" w:cs="宋体"/>
          <w:b/>
          <w:color w:val="000000"/>
          <w:kern w:val="0"/>
          <w:sz w:val="24"/>
        </w:rPr>
        <w:t>纵向项目科研奖励相关说明</w:t>
      </w:r>
    </w:p>
    <w:p>
      <w:pPr>
        <w:snapToGrid w:val="0"/>
        <w:spacing w:line="560" w:lineRule="exact"/>
        <w:ind w:firstLine="480"/>
        <w:rPr>
          <w:rFonts w:eastAsia="仿宋"/>
          <w:color w:val="000000"/>
          <w:kern w:val="0"/>
          <w:sz w:val="24"/>
        </w:rPr>
      </w:pPr>
      <w:r>
        <w:rPr>
          <w:rFonts w:eastAsia="仿宋"/>
          <w:color w:val="000000"/>
          <w:kern w:val="0"/>
          <w:sz w:val="24"/>
        </w:rPr>
        <w:t>1.科研项目立项奖励资格认定。（1）主持项目以项目主管机构下达我校的立项通知书为依据，其核定经费须到达我校财务账户。科研项目级别确定以《常州工学院纵向科研项目及经费管理办法》规定为准，或以学校学术委员会认定为准。（2）重大（重点）项目的子课题以我校作为协作参加单位的项目申请书和主管机构（或主持单位）的立项通知（或证明）为依据，核定经费须到达我校财务账户。</w:t>
      </w:r>
    </w:p>
    <w:p>
      <w:pPr>
        <w:snapToGrid w:val="0"/>
        <w:spacing w:line="560" w:lineRule="exact"/>
        <w:ind w:firstLine="573"/>
        <w:rPr>
          <w:rFonts w:eastAsia="仿宋"/>
          <w:color w:val="000000"/>
          <w:kern w:val="0"/>
          <w:sz w:val="24"/>
        </w:rPr>
      </w:pPr>
      <w:r>
        <w:rPr>
          <w:rFonts w:eastAsia="仿宋"/>
          <w:color w:val="000000"/>
          <w:kern w:val="0"/>
          <w:sz w:val="24"/>
        </w:rPr>
        <w:t>2.科研项目类别的界定。（1）国家级重大项目：国家重大基础研究发展项目、国家高技术研究重大计划项目、科技部重大专项、国家自然科学基金重大项目、国家社会科学基金重大项目等。（2）国家级重点项目：国家科技支撑计划项目、国家社会科学基金重点项目、国家自然科学基金重点项目、国家杰出青年基金项目等。（3）国家级一般项目：国家优秀青年基金项目、国家社会科学基金项目、国家自然科学基金面上项目等。（4）国家级其他项目：科技部一般项目、国家基金应急专项项目、国家基金后期资助项目。（5）省部级重大（重点）项目指教育部哲学社会科学研究重大课题攻关项目、省科技支撑项目，省重大科研成果转化类项目，且获批项目经费文科达到20万、理工科达到80万。（6）省部级其他项目：省软课题研究项目、省前瞻性研</w:t>
      </w:r>
      <w:r>
        <w:rPr>
          <w:rFonts w:ascii="仿宋" w:hAnsi="仿宋" w:eastAsia="仿宋" w:cs="宋体"/>
          <w:color w:val="000000"/>
          <w:kern w:val="0"/>
          <w:sz w:val="24"/>
        </w:rPr>
        <w:t>究项目、省</w:t>
      </w:r>
      <w:r>
        <w:rPr>
          <w:rFonts w:hint="eastAsia" w:ascii="仿宋" w:hAnsi="仿宋" w:eastAsia="仿宋" w:cs="宋体"/>
          <w:color w:val="000000"/>
          <w:kern w:val="0"/>
          <w:sz w:val="24"/>
        </w:rPr>
        <w:t>“333工程”</w:t>
      </w:r>
      <w:r>
        <w:rPr>
          <w:rFonts w:ascii="仿宋" w:hAnsi="仿宋" w:eastAsia="仿宋" w:cs="宋体"/>
          <w:color w:val="000000"/>
          <w:kern w:val="0"/>
          <w:sz w:val="24"/>
        </w:rPr>
        <w:t>人才类项目、国际科技合作计划项目，省基金后期资助项目，教育部专项项目，国家各部委计划项目</w:t>
      </w:r>
      <w:r>
        <w:rPr>
          <w:rFonts w:eastAsia="仿宋"/>
          <w:color w:val="000000"/>
          <w:kern w:val="0"/>
          <w:sz w:val="24"/>
        </w:rPr>
        <w:t>。（7）市厅级重大（重点）项目指省厅级单位重点计划项目、地级市科技局科技支撑类重点项目、地级市社会科学类重点项目，且获批项目经费文科达到5万、理工科达到20万。（8）市厅级一般项目指省厅级政府部门、地级市科技局立项的科技计划项目、市厅级社会科学类项目。</w:t>
      </w:r>
    </w:p>
    <w:p>
      <w:pPr>
        <w:snapToGrid w:val="0"/>
        <w:spacing w:line="560" w:lineRule="exact"/>
        <w:ind w:firstLine="573"/>
        <w:rPr>
          <w:rFonts w:eastAsia="仿宋"/>
          <w:color w:val="000000"/>
          <w:kern w:val="0"/>
          <w:sz w:val="24"/>
        </w:rPr>
      </w:pPr>
      <w:r>
        <w:rPr>
          <w:rFonts w:eastAsia="仿宋"/>
          <w:color w:val="000000"/>
          <w:kern w:val="0"/>
          <w:sz w:val="24"/>
        </w:rPr>
        <w:t>3.</w:t>
      </w:r>
      <w:r>
        <w:rPr>
          <w:rFonts w:hint="eastAsia" w:eastAsia="仿宋"/>
          <w:color w:val="000000"/>
          <w:kern w:val="0"/>
          <w:sz w:val="24"/>
        </w:rPr>
        <w:t xml:space="preserve"> 纵向</w:t>
      </w:r>
      <w:r>
        <w:rPr>
          <w:rFonts w:eastAsia="仿宋"/>
          <w:color w:val="000000"/>
          <w:kern w:val="0"/>
          <w:sz w:val="24"/>
        </w:rPr>
        <w:t>项目奖励由立项奖</w:t>
      </w:r>
      <w:r>
        <w:rPr>
          <w:rFonts w:hint="eastAsia" w:eastAsia="仿宋"/>
          <w:color w:val="000000"/>
          <w:kern w:val="0"/>
          <w:sz w:val="24"/>
        </w:rPr>
        <w:t>、</w:t>
      </w:r>
      <w:r>
        <w:rPr>
          <w:rFonts w:eastAsia="仿宋"/>
          <w:color w:val="000000"/>
          <w:kern w:val="0"/>
          <w:sz w:val="24"/>
        </w:rPr>
        <w:t>结题奖和到账经费奖三部分</w:t>
      </w:r>
      <w:r>
        <w:rPr>
          <w:rFonts w:hint="eastAsia" w:eastAsia="仿宋"/>
          <w:color w:val="000000"/>
          <w:kern w:val="0"/>
          <w:sz w:val="24"/>
        </w:rPr>
        <w:t>组</w:t>
      </w:r>
      <w:r>
        <w:rPr>
          <w:rFonts w:eastAsia="仿宋"/>
          <w:color w:val="000000"/>
          <w:kern w:val="0"/>
          <w:sz w:val="24"/>
        </w:rPr>
        <w:t>成。奖金分两次兑付，立项的当年兑付立项奖和当年的到账经费奖</w:t>
      </w:r>
      <w:r>
        <w:rPr>
          <w:rFonts w:hint="eastAsia" w:eastAsia="仿宋"/>
          <w:color w:val="000000"/>
          <w:kern w:val="0"/>
          <w:sz w:val="24"/>
        </w:rPr>
        <w:t>，</w:t>
      </w:r>
      <w:r>
        <w:rPr>
          <w:rFonts w:eastAsia="仿宋"/>
          <w:color w:val="000000"/>
          <w:kern w:val="0"/>
          <w:sz w:val="24"/>
        </w:rPr>
        <w:t>结题时兑付结题奖和其余到账经费奖。</w:t>
      </w:r>
    </w:p>
    <w:p>
      <w:pPr>
        <w:snapToGrid w:val="0"/>
        <w:spacing w:line="560" w:lineRule="exact"/>
        <w:ind w:firstLine="573"/>
        <w:rPr>
          <w:rFonts w:eastAsia="仿宋"/>
          <w:color w:val="000000"/>
          <w:kern w:val="0"/>
          <w:sz w:val="24"/>
        </w:rPr>
      </w:pPr>
      <w:r>
        <w:rPr>
          <w:rFonts w:eastAsia="仿宋"/>
          <w:color w:val="000000"/>
          <w:kern w:val="0"/>
          <w:sz w:val="24"/>
        </w:rPr>
        <w:t>4.对于国家级、省部级项目，我校作为项目参加单位的，按汇入我校到账经费</w:t>
      </w:r>
      <w:r>
        <w:rPr>
          <w:rFonts w:hint="eastAsia" w:eastAsia="仿宋"/>
          <w:color w:val="000000"/>
          <w:kern w:val="0"/>
          <w:sz w:val="24"/>
        </w:rPr>
        <w:t>的</w:t>
      </w:r>
      <w:r>
        <w:rPr>
          <w:rFonts w:eastAsia="仿宋"/>
          <w:color w:val="000000"/>
          <w:kern w:val="0"/>
          <w:sz w:val="24"/>
        </w:rPr>
        <w:t>10%进行奖励（立项奖励和结题奖励各占50%），单个项目最高奖励限额为10万元。</w:t>
      </w:r>
    </w:p>
    <w:p>
      <w:pPr>
        <w:snapToGrid w:val="0"/>
        <w:spacing w:line="560" w:lineRule="exact"/>
        <w:ind w:firstLine="573"/>
        <w:rPr>
          <w:rFonts w:eastAsia="仿宋"/>
          <w:color w:val="000000"/>
          <w:kern w:val="0"/>
          <w:sz w:val="24"/>
        </w:rPr>
      </w:pPr>
      <w:r>
        <w:rPr>
          <w:rFonts w:eastAsia="仿宋"/>
          <w:color w:val="000000"/>
          <w:kern w:val="0"/>
          <w:sz w:val="24"/>
        </w:rPr>
        <w:t>5.对于主持国家级重大（重点）项目的一级子项目，按同级项目奖励标准</w:t>
      </w:r>
      <w:r>
        <w:rPr>
          <w:rFonts w:hint="eastAsia" w:eastAsia="仿宋"/>
          <w:color w:val="000000"/>
          <w:kern w:val="0"/>
          <w:sz w:val="24"/>
        </w:rPr>
        <w:t>的</w:t>
      </w:r>
      <w:r>
        <w:rPr>
          <w:rFonts w:eastAsia="仿宋"/>
          <w:color w:val="000000"/>
          <w:kern w:val="0"/>
          <w:sz w:val="24"/>
        </w:rPr>
        <w:t>30%奖励。</w:t>
      </w:r>
    </w:p>
    <w:p>
      <w:pPr>
        <w:snapToGrid w:val="0"/>
        <w:spacing w:line="560" w:lineRule="exact"/>
        <w:ind w:firstLine="573"/>
        <w:rPr>
          <w:rFonts w:eastAsia="仿宋"/>
          <w:color w:val="000000"/>
          <w:kern w:val="0"/>
          <w:sz w:val="24"/>
        </w:rPr>
      </w:pPr>
      <w:r>
        <w:rPr>
          <w:rFonts w:eastAsia="仿宋"/>
          <w:color w:val="000000"/>
          <w:kern w:val="0"/>
          <w:sz w:val="24"/>
        </w:rPr>
        <w:t>6.任何一级项目奖励的总金额上限（立项奖</w:t>
      </w:r>
      <w:r>
        <w:rPr>
          <w:rFonts w:hint="eastAsia" w:eastAsia="仿宋"/>
          <w:color w:val="000000"/>
          <w:kern w:val="0"/>
          <w:sz w:val="24"/>
        </w:rPr>
        <w:t>、</w:t>
      </w:r>
      <w:r>
        <w:rPr>
          <w:rFonts w:eastAsia="仿宋"/>
          <w:color w:val="000000"/>
          <w:kern w:val="0"/>
          <w:sz w:val="24"/>
        </w:rPr>
        <w:t>结题奖和经费奖之和）不高于项目到账经费的总额，且国家级重大（重点）项目单个最高奖励总金额上限为100万元，其他项目单个最高奖励总金额上限为40万元。</w:t>
      </w:r>
    </w:p>
    <w:p>
      <w:pPr>
        <w:snapToGrid w:val="0"/>
        <w:spacing w:line="560" w:lineRule="exact"/>
        <w:ind w:firstLine="573"/>
        <w:rPr>
          <w:rFonts w:eastAsia="仿宋"/>
          <w:color w:val="000000"/>
          <w:kern w:val="0"/>
          <w:sz w:val="24"/>
        </w:rPr>
      </w:pPr>
      <w:r>
        <w:rPr>
          <w:rFonts w:eastAsia="仿宋"/>
          <w:color w:val="000000"/>
          <w:kern w:val="0"/>
          <w:sz w:val="24"/>
        </w:rPr>
        <w:t>7.延期结题的科研项目不予奖励；项目无故终止或因延期而对学校下一年度项目申报造成不良影响的，将追回立项奖励，并扣发其下一年度的同额度奖励。</w:t>
      </w:r>
    </w:p>
    <w:p>
      <w:pPr>
        <w:snapToGrid w:val="0"/>
        <w:spacing w:line="560" w:lineRule="exact"/>
        <w:ind w:firstLine="482"/>
        <w:rPr>
          <w:rFonts w:eastAsia="仿宋"/>
          <w:b/>
          <w:color w:val="000000"/>
          <w:kern w:val="0"/>
          <w:sz w:val="24"/>
        </w:rPr>
      </w:pPr>
      <w:r>
        <w:rPr>
          <w:rFonts w:eastAsia="仿宋"/>
          <w:b/>
          <w:color w:val="000000"/>
          <w:kern w:val="0"/>
          <w:sz w:val="24"/>
        </w:rPr>
        <w:t>三、学术论文奖励相关说明</w:t>
      </w:r>
    </w:p>
    <w:p>
      <w:pPr>
        <w:snapToGrid w:val="0"/>
        <w:spacing w:line="560" w:lineRule="exact"/>
        <w:ind w:firstLine="480"/>
        <w:rPr>
          <w:rFonts w:ascii="仿宋" w:hAnsi="仿宋" w:eastAsia="仿宋" w:cs="宋体"/>
          <w:color w:val="000000"/>
          <w:kern w:val="0"/>
          <w:sz w:val="24"/>
        </w:rPr>
      </w:pPr>
      <w:r>
        <w:rPr>
          <w:rFonts w:eastAsia="仿宋"/>
          <w:color w:val="000000"/>
          <w:kern w:val="0"/>
          <w:sz w:val="24"/>
        </w:rPr>
        <w:t>1.论文必须在国家新闻出版总署认可的国内外正式刊物上发表，增刊不予奖励；但增刊论文若被SCI、EI等收录，仍</w:t>
      </w:r>
      <w:r>
        <w:rPr>
          <w:rFonts w:ascii="仿宋" w:hAnsi="仿宋" w:eastAsia="仿宋" w:cs="宋体"/>
          <w:color w:val="000000"/>
          <w:kern w:val="0"/>
          <w:sz w:val="24"/>
        </w:rPr>
        <w:t>按照相应的标准奖励。</w:t>
      </w:r>
    </w:p>
    <w:p>
      <w:pPr>
        <w:snapToGrid w:val="0"/>
        <w:spacing w:line="560" w:lineRule="exact"/>
        <w:ind w:firstLine="480"/>
        <w:rPr>
          <w:rFonts w:eastAsia="仿宋"/>
          <w:color w:val="000000"/>
          <w:kern w:val="0"/>
          <w:sz w:val="24"/>
        </w:rPr>
      </w:pPr>
      <w:r>
        <w:rPr>
          <w:rFonts w:eastAsia="仿宋"/>
          <w:color w:val="000000"/>
          <w:kern w:val="0"/>
          <w:sz w:val="24"/>
        </w:rPr>
        <w:t>2.奖励的论文应不少于2个版面，一般应在2500字以上。</w:t>
      </w:r>
    </w:p>
    <w:p>
      <w:pPr>
        <w:snapToGrid w:val="0"/>
        <w:spacing w:line="560" w:lineRule="exact"/>
        <w:ind w:firstLine="480"/>
        <w:rPr>
          <w:rFonts w:eastAsia="仿宋"/>
          <w:color w:val="000000"/>
          <w:kern w:val="0"/>
          <w:sz w:val="24"/>
        </w:rPr>
      </w:pPr>
      <w:r>
        <w:rPr>
          <w:rFonts w:eastAsia="仿宋"/>
          <w:color w:val="000000"/>
          <w:kern w:val="0"/>
          <w:sz w:val="24"/>
        </w:rPr>
        <w:t>3.我校认定的A类中文核心期刊以科研处当年公布的为准；各类收录刊物均应提供收录检索证明。</w:t>
      </w:r>
    </w:p>
    <w:p>
      <w:pPr>
        <w:snapToGrid w:val="0"/>
        <w:spacing w:line="560" w:lineRule="exact"/>
        <w:ind w:firstLine="480"/>
        <w:rPr>
          <w:rFonts w:eastAsia="仿宋"/>
          <w:color w:val="000000"/>
          <w:kern w:val="0"/>
          <w:sz w:val="24"/>
        </w:rPr>
      </w:pPr>
      <w:r>
        <w:rPr>
          <w:rFonts w:eastAsia="仿宋"/>
          <w:color w:val="000000"/>
          <w:kern w:val="0"/>
          <w:sz w:val="24"/>
        </w:rPr>
        <w:t>4.中文社会科学引文索引（CSSCI）来源期刊不包含CSSCI扩展版来源期刊和CSSCI来源集刊。</w:t>
      </w:r>
    </w:p>
    <w:p>
      <w:pPr>
        <w:snapToGrid w:val="0"/>
        <w:spacing w:line="560" w:lineRule="exact"/>
        <w:ind w:firstLine="480"/>
        <w:rPr>
          <w:rFonts w:eastAsia="仿宋"/>
          <w:color w:val="000000"/>
          <w:kern w:val="0"/>
          <w:sz w:val="24"/>
        </w:rPr>
      </w:pPr>
      <w:r>
        <w:rPr>
          <w:rFonts w:eastAsia="仿宋"/>
          <w:color w:val="000000"/>
          <w:kern w:val="0"/>
          <w:sz w:val="24"/>
        </w:rPr>
        <w:t>5.同一篇论文不重复奖励，同一篇论文涉及到不同标准奖励的，按就高补差原则进行奖励。</w:t>
      </w:r>
    </w:p>
    <w:p>
      <w:pPr>
        <w:snapToGrid w:val="0"/>
        <w:spacing w:line="560" w:lineRule="exact"/>
        <w:ind w:firstLine="480"/>
        <w:rPr>
          <w:rFonts w:eastAsia="仿宋"/>
          <w:color w:val="000000"/>
          <w:kern w:val="0"/>
          <w:sz w:val="24"/>
        </w:rPr>
      </w:pPr>
      <w:r>
        <w:rPr>
          <w:rFonts w:eastAsia="仿宋"/>
          <w:color w:val="000000"/>
          <w:kern w:val="0"/>
          <w:sz w:val="24"/>
        </w:rPr>
        <w:t>6.对于参加各类学术会议出版的论文集并被SCI、SCIE等收录论文奖励篇数（各项合计）不超过2篇。</w:t>
      </w:r>
    </w:p>
    <w:p>
      <w:pPr>
        <w:snapToGrid w:val="0"/>
        <w:spacing w:line="560" w:lineRule="exact"/>
        <w:ind w:firstLine="480"/>
        <w:rPr>
          <w:rFonts w:eastAsia="仿宋"/>
          <w:color w:val="000000"/>
          <w:kern w:val="0"/>
          <w:sz w:val="24"/>
        </w:rPr>
      </w:pPr>
      <w:r>
        <w:rPr>
          <w:rFonts w:eastAsia="仿宋"/>
          <w:color w:val="000000"/>
          <w:kern w:val="0"/>
          <w:sz w:val="24"/>
        </w:rPr>
        <w:t>7.被SCI、SCIE、EI、SSCI、A﹠HCI、ISTP收录的学术论文，以当年中国科学技术信息研究所等机构提供的数据为准；CSSCI收录的学术论文，以当年南京大学中国社会科学研究评价中心公布的统计数据为准。</w:t>
      </w:r>
    </w:p>
    <w:p>
      <w:pPr>
        <w:snapToGrid w:val="0"/>
        <w:spacing w:line="560" w:lineRule="exact"/>
        <w:ind w:firstLine="482"/>
        <w:rPr>
          <w:rFonts w:hint="eastAsia" w:ascii="仿宋" w:hAnsi="仿宋" w:eastAsia="仿宋" w:cs="宋体"/>
          <w:b/>
          <w:color w:val="000000"/>
          <w:kern w:val="0"/>
          <w:sz w:val="24"/>
        </w:rPr>
      </w:pPr>
      <w:r>
        <w:rPr>
          <w:rFonts w:hint="eastAsia" w:ascii="仿宋" w:hAnsi="仿宋" w:eastAsia="仿宋" w:cs="宋体"/>
          <w:b/>
          <w:color w:val="000000"/>
          <w:kern w:val="0"/>
          <w:sz w:val="24"/>
        </w:rPr>
        <w:t>四、获奖科研成果奖励相关说明</w:t>
      </w:r>
    </w:p>
    <w:p>
      <w:pPr>
        <w:snapToGrid w:val="0"/>
        <w:spacing w:line="560" w:lineRule="exact"/>
        <w:ind w:firstLine="480"/>
        <w:rPr>
          <w:rFonts w:eastAsia="仿宋"/>
          <w:color w:val="000000"/>
          <w:kern w:val="0"/>
          <w:sz w:val="24"/>
        </w:rPr>
      </w:pPr>
      <w:r>
        <w:rPr>
          <w:rFonts w:eastAsia="仿宋"/>
          <w:color w:val="000000"/>
          <w:kern w:val="0"/>
          <w:sz w:val="24"/>
        </w:rPr>
        <w:t>1.省部级科研成果奖是指以国家部（委、局）、省级人民政府名义下达的科研成果奖励。主要包括：教育部中国高等学校科学研究优秀成果奖（科学技术）、省科技进步奖、省技术发明奖、省哲学社会科学优秀成果奖及国家有关部委的科研成果奖。</w:t>
      </w:r>
    </w:p>
    <w:p>
      <w:pPr>
        <w:snapToGrid w:val="0"/>
        <w:spacing w:line="560" w:lineRule="exact"/>
        <w:ind w:firstLine="573"/>
        <w:rPr>
          <w:rFonts w:eastAsia="仿宋"/>
          <w:color w:val="000000"/>
          <w:kern w:val="0"/>
          <w:sz w:val="24"/>
        </w:rPr>
      </w:pPr>
      <w:r>
        <w:rPr>
          <w:rFonts w:eastAsia="仿宋"/>
          <w:color w:val="000000"/>
          <w:kern w:val="0"/>
          <w:sz w:val="24"/>
        </w:rPr>
        <w:t>2.对于设有特等奖的省部级、市厅级科研成果奖，特等奖对应一等奖，依次顺延，三等奖则按其奖励标准的50%予以奖励。对于只设一、二等奖及优秀奖（不设三等奖）的，其优秀奖可参照相应级别的三等奖50%予以奖励。</w:t>
      </w:r>
    </w:p>
    <w:p>
      <w:pPr>
        <w:snapToGrid w:val="0"/>
        <w:spacing w:line="560" w:lineRule="exact"/>
        <w:ind w:firstLine="573"/>
        <w:rPr>
          <w:rFonts w:eastAsia="仿宋"/>
          <w:color w:val="000000"/>
          <w:kern w:val="0"/>
          <w:sz w:val="24"/>
        </w:rPr>
      </w:pPr>
      <w:r>
        <w:rPr>
          <w:rFonts w:eastAsia="仿宋"/>
          <w:color w:val="000000"/>
          <w:kern w:val="0"/>
          <w:sz w:val="24"/>
        </w:rPr>
        <w:t>3.原国家部委改制后具有推荐国家级成果奖资格（已在科技部备案）的协会颁发的科学技术奖（成果奖），且社会认可度较高的奖励，按省部级科研成果奖励标准的50%进行奖励；社会认可度一般的奖励，视同市厅级科研成果奖。</w:t>
      </w:r>
    </w:p>
    <w:p>
      <w:pPr>
        <w:snapToGrid w:val="0"/>
        <w:spacing w:line="560" w:lineRule="exact"/>
        <w:ind w:firstLine="573"/>
        <w:rPr>
          <w:rFonts w:ascii="仿宋" w:hAnsi="仿宋" w:eastAsia="仿宋" w:cs="宋体"/>
          <w:color w:val="000000"/>
          <w:kern w:val="0"/>
          <w:sz w:val="24"/>
        </w:rPr>
      </w:pPr>
      <w:r>
        <w:rPr>
          <w:rFonts w:eastAsia="仿宋"/>
          <w:color w:val="000000"/>
          <w:kern w:val="0"/>
          <w:sz w:val="24"/>
        </w:rPr>
        <w:t>4.市厅级科研成果奖是指</w:t>
      </w:r>
      <w:r>
        <w:rPr>
          <w:rFonts w:ascii="仿宋" w:hAnsi="仿宋" w:eastAsia="仿宋" w:cs="宋体"/>
          <w:color w:val="000000"/>
          <w:kern w:val="0"/>
          <w:sz w:val="24"/>
        </w:rPr>
        <w:t>以省厅（委、局）等政府部门名义下达的科研奖励，包括江苏省高校哲学社会科学优秀成果奖、江苏省高校科学技术研究成果奖（科技进步奖、技术发明奖、自然科学奖）、省社科联社科应用研究精品工程奖、常州市科学技术奖、常州市哲学社会科学优秀成果奖等。</w:t>
      </w:r>
    </w:p>
    <w:p>
      <w:pPr>
        <w:snapToGrid w:val="0"/>
        <w:spacing w:line="560" w:lineRule="exact"/>
        <w:ind w:firstLine="573"/>
        <w:rPr>
          <w:rFonts w:eastAsia="仿宋"/>
          <w:color w:val="000000"/>
          <w:kern w:val="0"/>
          <w:sz w:val="24"/>
        </w:rPr>
      </w:pPr>
      <w:r>
        <w:rPr>
          <w:rFonts w:eastAsia="仿宋"/>
          <w:color w:val="000000"/>
          <w:kern w:val="0"/>
          <w:sz w:val="24"/>
        </w:rPr>
        <w:t>5.任何一级学术会议获得的奖励均不予奖励。</w:t>
      </w:r>
    </w:p>
    <w:p>
      <w:pPr>
        <w:snapToGrid w:val="0"/>
        <w:spacing w:line="560" w:lineRule="exact"/>
        <w:ind w:firstLine="573"/>
        <w:rPr>
          <w:rFonts w:hint="eastAsia" w:ascii="仿宋" w:hAnsi="仿宋" w:eastAsia="仿宋" w:cs="宋体"/>
          <w:color w:val="000000"/>
          <w:kern w:val="0"/>
          <w:sz w:val="24"/>
        </w:rPr>
      </w:pPr>
      <w:r>
        <w:rPr>
          <w:rFonts w:eastAsia="仿宋"/>
          <w:color w:val="000000"/>
          <w:kern w:val="0"/>
          <w:sz w:val="24"/>
        </w:rPr>
        <w:t>6.联合署名的国家级</w:t>
      </w:r>
      <w:r>
        <w:rPr>
          <w:rFonts w:ascii="仿宋" w:hAnsi="仿宋" w:eastAsia="仿宋" w:cs="宋体"/>
          <w:color w:val="000000"/>
          <w:kern w:val="0"/>
          <w:sz w:val="24"/>
        </w:rPr>
        <w:t>科研成果</w:t>
      </w:r>
      <w:r>
        <w:rPr>
          <w:rFonts w:hint="eastAsia" w:ascii="仿宋" w:hAnsi="仿宋" w:eastAsia="仿宋" w:cs="宋体"/>
          <w:color w:val="000000"/>
          <w:kern w:val="0"/>
          <w:sz w:val="24"/>
        </w:rPr>
        <w:t>奖，“</w:t>
      </w:r>
      <w:r>
        <w:rPr>
          <w:rFonts w:ascii="仿宋" w:hAnsi="仿宋" w:eastAsia="仿宋" w:cs="宋体"/>
          <w:color w:val="000000"/>
          <w:kern w:val="0"/>
          <w:sz w:val="24"/>
        </w:rPr>
        <w:t>常州工学院</w:t>
      </w:r>
      <w:r>
        <w:rPr>
          <w:rFonts w:hint="eastAsia" w:ascii="仿宋" w:hAnsi="仿宋" w:eastAsia="仿宋" w:cs="宋体"/>
          <w:color w:val="000000"/>
          <w:kern w:val="0"/>
          <w:sz w:val="24"/>
        </w:rPr>
        <w:t>”为第二（或第三）完成单位的；联合</w:t>
      </w:r>
      <w:r>
        <w:rPr>
          <w:rFonts w:ascii="仿宋" w:hAnsi="仿宋" w:eastAsia="仿宋" w:cs="宋体"/>
          <w:color w:val="000000"/>
          <w:kern w:val="0"/>
          <w:sz w:val="24"/>
        </w:rPr>
        <w:t>署名</w:t>
      </w:r>
      <w:r>
        <w:rPr>
          <w:rFonts w:hint="eastAsia" w:ascii="仿宋" w:hAnsi="仿宋" w:eastAsia="仿宋" w:cs="宋体"/>
          <w:color w:val="000000"/>
          <w:kern w:val="0"/>
          <w:sz w:val="24"/>
        </w:rPr>
        <w:t>的省部级</w:t>
      </w:r>
      <w:r>
        <w:rPr>
          <w:rFonts w:ascii="仿宋" w:hAnsi="仿宋" w:eastAsia="仿宋" w:cs="宋体"/>
          <w:color w:val="000000"/>
          <w:kern w:val="0"/>
          <w:sz w:val="24"/>
        </w:rPr>
        <w:t>科研成果</w:t>
      </w:r>
      <w:r>
        <w:rPr>
          <w:rFonts w:hint="eastAsia" w:ascii="仿宋" w:hAnsi="仿宋" w:eastAsia="仿宋" w:cs="宋体"/>
          <w:color w:val="000000"/>
          <w:kern w:val="0"/>
          <w:sz w:val="24"/>
        </w:rPr>
        <w:t>奖，“</w:t>
      </w:r>
      <w:r>
        <w:rPr>
          <w:rFonts w:ascii="仿宋" w:hAnsi="仿宋" w:eastAsia="仿宋" w:cs="宋体"/>
          <w:color w:val="000000"/>
          <w:kern w:val="0"/>
          <w:sz w:val="24"/>
        </w:rPr>
        <w:t>常州工学院</w:t>
      </w:r>
      <w:r>
        <w:rPr>
          <w:rFonts w:hint="eastAsia" w:ascii="仿宋" w:hAnsi="仿宋" w:eastAsia="仿宋" w:cs="宋体"/>
          <w:color w:val="000000"/>
          <w:kern w:val="0"/>
          <w:sz w:val="24"/>
        </w:rPr>
        <w:t>”为第二完成单位的，且成果完成人对应排名（排名</w:t>
      </w:r>
      <w:r>
        <w:rPr>
          <w:rFonts w:eastAsia="仿宋"/>
          <w:color w:val="000000"/>
          <w:kern w:val="0"/>
          <w:sz w:val="24"/>
        </w:rPr>
        <w:t>取前6）是</w:t>
      </w:r>
      <w:r>
        <w:rPr>
          <w:rFonts w:hint="eastAsia" w:ascii="仿宋" w:hAnsi="仿宋" w:eastAsia="仿宋" w:cs="宋体"/>
          <w:color w:val="000000"/>
          <w:kern w:val="0"/>
          <w:sz w:val="24"/>
        </w:rPr>
        <w:t>我校在职职工的，</w:t>
      </w:r>
      <w:r>
        <w:rPr>
          <w:rFonts w:ascii="仿宋" w:hAnsi="仿宋" w:eastAsia="仿宋" w:cs="宋体"/>
          <w:color w:val="000000"/>
          <w:kern w:val="0"/>
          <w:sz w:val="24"/>
        </w:rPr>
        <w:t>可申请</w:t>
      </w:r>
      <w:r>
        <w:rPr>
          <w:rFonts w:hint="eastAsia" w:ascii="仿宋" w:hAnsi="仿宋" w:eastAsia="仿宋" w:cs="宋体"/>
          <w:color w:val="000000"/>
          <w:kern w:val="0"/>
          <w:sz w:val="24"/>
        </w:rPr>
        <w:t>相应</w:t>
      </w:r>
      <w:r>
        <w:rPr>
          <w:rFonts w:ascii="仿宋" w:hAnsi="仿宋" w:eastAsia="仿宋" w:cs="宋体"/>
          <w:color w:val="000000"/>
          <w:kern w:val="0"/>
          <w:sz w:val="24"/>
        </w:rPr>
        <w:t>奖励</w:t>
      </w:r>
      <w:r>
        <w:rPr>
          <w:rFonts w:hint="eastAsia" w:ascii="仿宋" w:hAnsi="仿宋" w:eastAsia="仿宋" w:cs="宋体"/>
          <w:color w:val="000000"/>
          <w:kern w:val="0"/>
          <w:sz w:val="24"/>
        </w:rPr>
        <w:t>，</w:t>
      </w:r>
      <w:r>
        <w:rPr>
          <w:rFonts w:ascii="仿宋" w:hAnsi="仿宋" w:eastAsia="仿宋" w:cs="宋体"/>
          <w:color w:val="000000"/>
          <w:kern w:val="0"/>
          <w:sz w:val="24"/>
        </w:rPr>
        <w:t>奖金根据</w:t>
      </w:r>
      <w:r>
        <w:rPr>
          <w:rFonts w:hint="eastAsia" w:ascii="仿宋" w:hAnsi="仿宋" w:eastAsia="仿宋" w:cs="宋体"/>
          <w:color w:val="000000"/>
          <w:kern w:val="0"/>
          <w:sz w:val="24"/>
        </w:rPr>
        <w:t>单位排名、</w:t>
      </w:r>
      <w:r>
        <w:rPr>
          <w:rFonts w:ascii="仿宋" w:hAnsi="仿宋" w:eastAsia="仿宋" w:cs="宋体"/>
          <w:color w:val="000000"/>
          <w:kern w:val="0"/>
          <w:sz w:val="24"/>
        </w:rPr>
        <w:t>署名排序确定：</w:t>
      </w:r>
    </w:p>
    <w:p>
      <w:pPr>
        <w:snapToGrid w:val="0"/>
        <w:spacing w:line="560" w:lineRule="exact"/>
        <w:ind w:firstLine="573"/>
        <w:rPr>
          <w:rFonts w:hint="eastAsia" w:ascii="仿宋" w:hAnsi="仿宋" w:eastAsia="仿宋" w:cs="宋体"/>
          <w:color w:val="000000"/>
          <w:kern w:val="0"/>
          <w:sz w:val="24"/>
        </w:rPr>
      </w:pPr>
      <w:r>
        <w:rPr>
          <w:rFonts w:ascii="仿宋" w:hAnsi="仿宋" w:eastAsia="仿宋" w:cs="宋体"/>
          <w:color w:val="000000"/>
          <w:kern w:val="0"/>
          <w:sz w:val="24"/>
        </w:rPr>
        <w:t>奖励金额=（标准金额）×（</w:t>
      </w:r>
      <w:r>
        <w:rPr>
          <w:rFonts w:hint="eastAsia" w:ascii="仿宋" w:hAnsi="仿宋" w:eastAsia="仿宋" w:cs="宋体"/>
          <w:color w:val="000000"/>
          <w:kern w:val="0"/>
          <w:sz w:val="24"/>
        </w:rPr>
        <w:t>单位排名系数</w:t>
      </w:r>
      <w:r>
        <w:rPr>
          <w:rFonts w:ascii="仿宋" w:hAnsi="仿宋" w:eastAsia="仿宋" w:cs="宋体"/>
          <w:color w:val="000000"/>
          <w:kern w:val="0"/>
          <w:sz w:val="24"/>
        </w:rPr>
        <w:t>）×（署名排序</w:t>
      </w:r>
      <w:r>
        <w:rPr>
          <w:rFonts w:hint="eastAsia" w:ascii="仿宋" w:hAnsi="仿宋" w:eastAsia="仿宋" w:cs="宋体"/>
          <w:color w:val="000000"/>
          <w:kern w:val="0"/>
          <w:sz w:val="24"/>
        </w:rPr>
        <w:t>系数</w:t>
      </w:r>
      <w:r>
        <w:rPr>
          <w:rFonts w:ascii="仿宋" w:hAnsi="仿宋" w:eastAsia="仿宋" w:cs="宋体"/>
          <w:color w:val="000000"/>
          <w:kern w:val="0"/>
          <w:sz w:val="24"/>
        </w:rPr>
        <w:t>）</w:t>
      </w:r>
      <w:r>
        <w:rPr>
          <w:rFonts w:hint="eastAsia" w:ascii="仿宋" w:hAnsi="仿宋" w:eastAsia="仿宋" w:cs="宋体"/>
          <w:color w:val="000000"/>
          <w:kern w:val="0"/>
          <w:sz w:val="24"/>
        </w:rPr>
        <w:t>。</w:t>
      </w:r>
    </w:p>
    <w:p>
      <w:pPr>
        <w:snapToGrid w:val="0"/>
        <w:spacing w:line="560" w:lineRule="exact"/>
        <w:ind w:firstLine="573"/>
        <w:rPr>
          <w:rFonts w:hint="eastAsia" w:ascii="仿宋" w:hAnsi="仿宋" w:eastAsia="仿宋" w:cs="宋体"/>
          <w:color w:val="000000"/>
          <w:kern w:val="0"/>
          <w:sz w:val="24"/>
        </w:rPr>
      </w:pPr>
      <w:r>
        <w:rPr>
          <w:rFonts w:ascii="仿宋" w:hAnsi="仿宋" w:eastAsia="仿宋" w:cs="宋体"/>
          <w:color w:val="000000"/>
          <w:kern w:val="0"/>
          <w:sz w:val="24"/>
        </w:rPr>
        <w:t>常州工学院</w:t>
      </w:r>
      <w:r>
        <w:rPr>
          <w:rFonts w:hint="eastAsia" w:ascii="仿宋" w:hAnsi="仿宋" w:eastAsia="仿宋" w:cs="宋体"/>
          <w:color w:val="000000"/>
          <w:kern w:val="0"/>
          <w:sz w:val="24"/>
        </w:rPr>
        <w:t>单位排名系数、</w:t>
      </w:r>
      <w:r>
        <w:rPr>
          <w:rFonts w:ascii="仿宋" w:hAnsi="仿宋" w:eastAsia="仿宋" w:cs="宋体"/>
          <w:color w:val="000000"/>
          <w:kern w:val="0"/>
          <w:sz w:val="24"/>
        </w:rPr>
        <w:t>署名排序</w:t>
      </w:r>
      <w:r>
        <w:rPr>
          <w:rFonts w:hint="eastAsia" w:ascii="仿宋" w:hAnsi="仿宋" w:eastAsia="仿宋" w:cs="宋体"/>
          <w:color w:val="000000"/>
          <w:kern w:val="0"/>
          <w:sz w:val="24"/>
        </w:rPr>
        <w:t>系数规定如下表：</w:t>
      </w:r>
    </w:p>
    <w:tbl>
      <w:tblPr>
        <w:tblStyle w:val="5"/>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6" w:type="dxa"/>
            <w:vAlign w:val="center"/>
          </w:tcPr>
          <w:p>
            <w:pPr>
              <w:snapToGrid w:val="0"/>
              <w:spacing w:line="560" w:lineRule="exact"/>
              <w:rPr>
                <w:rFonts w:ascii="仿宋" w:hAnsi="仿宋" w:eastAsia="仿宋" w:cs="宋体"/>
                <w:color w:val="000000"/>
                <w:kern w:val="0"/>
                <w:sz w:val="24"/>
              </w:rPr>
            </w:pPr>
            <w:r>
              <w:rPr>
                <w:rFonts w:ascii="仿宋" w:hAnsi="仿宋" w:eastAsia="仿宋" w:cs="宋体"/>
                <w:color w:val="000000"/>
                <w:kern w:val="0"/>
                <w:sz w:val="24"/>
              </w:rPr>
              <w:t>单位排名</w:t>
            </w:r>
          </w:p>
        </w:tc>
        <w:tc>
          <w:tcPr>
            <w:tcW w:w="3402" w:type="dxa"/>
            <w:gridSpan w:val="6"/>
            <w:vAlign w:val="top"/>
          </w:tcPr>
          <w:p>
            <w:pPr>
              <w:snapToGrid w:val="0"/>
              <w:spacing w:line="560" w:lineRule="exact"/>
              <w:ind w:firstLine="573"/>
              <w:jc w:val="center"/>
              <w:rPr>
                <w:rFonts w:eastAsia="仿宋"/>
                <w:color w:val="000000"/>
                <w:kern w:val="0"/>
                <w:sz w:val="24"/>
              </w:rPr>
            </w:pPr>
            <w:r>
              <w:rPr>
                <w:rFonts w:eastAsia="仿宋"/>
                <w:color w:val="000000"/>
                <w:kern w:val="0"/>
                <w:sz w:val="24"/>
              </w:rPr>
              <w:t>2</w:t>
            </w:r>
          </w:p>
        </w:tc>
        <w:tc>
          <w:tcPr>
            <w:tcW w:w="3402" w:type="dxa"/>
            <w:gridSpan w:val="6"/>
            <w:vAlign w:val="top"/>
          </w:tcPr>
          <w:p>
            <w:pPr>
              <w:snapToGrid w:val="0"/>
              <w:spacing w:line="560" w:lineRule="exact"/>
              <w:ind w:firstLine="573"/>
              <w:jc w:val="center"/>
              <w:rPr>
                <w:rFonts w:eastAsia="仿宋"/>
                <w:color w:val="000000"/>
                <w:kern w:val="0"/>
                <w:sz w:val="24"/>
              </w:rPr>
            </w:pPr>
            <w:r>
              <w:rPr>
                <w:rFonts w:eastAsia="仿宋"/>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56" w:type="dxa"/>
            <w:vAlign w:val="center"/>
          </w:tcPr>
          <w:p>
            <w:pPr>
              <w:snapToGrid w:val="0"/>
              <w:spacing w:line="560" w:lineRule="exact"/>
              <w:rPr>
                <w:rFonts w:ascii="仿宋" w:hAnsi="仿宋" w:eastAsia="仿宋" w:cs="宋体"/>
                <w:color w:val="000000"/>
                <w:kern w:val="0"/>
                <w:sz w:val="24"/>
              </w:rPr>
            </w:pPr>
            <w:r>
              <w:rPr>
                <w:rFonts w:ascii="仿宋" w:hAnsi="仿宋" w:eastAsia="仿宋" w:cs="宋体"/>
                <w:color w:val="000000"/>
                <w:kern w:val="0"/>
                <w:sz w:val="24"/>
              </w:rPr>
              <w:t>单位排名系数</w:t>
            </w:r>
          </w:p>
        </w:tc>
        <w:tc>
          <w:tcPr>
            <w:tcW w:w="3402" w:type="dxa"/>
            <w:gridSpan w:val="6"/>
            <w:vAlign w:val="top"/>
          </w:tcPr>
          <w:p>
            <w:pPr>
              <w:snapToGrid w:val="0"/>
              <w:spacing w:line="560" w:lineRule="exact"/>
              <w:ind w:firstLine="573"/>
              <w:jc w:val="center"/>
              <w:rPr>
                <w:rFonts w:eastAsia="仿宋"/>
                <w:color w:val="000000"/>
                <w:kern w:val="0"/>
                <w:sz w:val="24"/>
              </w:rPr>
            </w:pPr>
            <w:r>
              <w:rPr>
                <w:rFonts w:eastAsia="仿宋"/>
                <w:color w:val="000000"/>
                <w:kern w:val="0"/>
                <w:sz w:val="24"/>
              </w:rPr>
              <w:t>0.5</w:t>
            </w:r>
          </w:p>
        </w:tc>
        <w:tc>
          <w:tcPr>
            <w:tcW w:w="3402" w:type="dxa"/>
            <w:gridSpan w:val="6"/>
            <w:vAlign w:val="top"/>
          </w:tcPr>
          <w:p>
            <w:pPr>
              <w:snapToGrid w:val="0"/>
              <w:spacing w:line="560" w:lineRule="exact"/>
              <w:ind w:firstLine="573"/>
              <w:jc w:val="center"/>
              <w:rPr>
                <w:rFonts w:eastAsia="仿宋"/>
                <w:color w:val="000000"/>
                <w:kern w:val="0"/>
                <w:sz w:val="24"/>
              </w:rPr>
            </w:pPr>
            <w:r>
              <w:rPr>
                <w:rFonts w:eastAsia="仿宋"/>
                <w:color w:val="000000"/>
                <w:kern w:val="0"/>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56" w:type="dxa"/>
            <w:vAlign w:val="center"/>
          </w:tcPr>
          <w:p>
            <w:pPr>
              <w:rPr>
                <w:rFonts w:ascii="仿宋" w:hAnsi="仿宋" w:eastAsia="仿宋" w:cs="宋体"/>
                <w:color w:val="000000"/>
                <w:kern w:val="0"/>
                <w:sz w:val="24"/>
              </w:rPr>
            </w:pPr>
            <w:r>
              <w:rPr>
                <w:rFonts w:ascii="仿宋" w:hAnsi="仿宋" w:eastAsia="仿宋" w:cs="宋体"/>
                <w:color w:val="000000"/>
                <w:kern w:val="0"/>
                <w:sz w:val="24"/>
              </w:rPr>
              <w:t>署名排序</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1</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2</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3</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4</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5</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6</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1</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2</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3</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4</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5</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56" w:type="dxa"/>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署名排列序数</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1</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0.8</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0.6</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0.4</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0.2</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0.1</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1</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0.8</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0.6</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0.4</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0.2</w:t>
            </w:r>
          </w:p>
        </w:tc>
        <w:tc>
          <w:tcPr>
            <w:tcW w:w="567" w:type="dxa"/>
            <w:vAlign w:val="top"/>
          </w:tcPr>
          <w:p>
            <w:pPr>
              <w:snapToGrid w:val="0"/>
              <w:spacing w:line="560" w:lineRule="exact"/>
              <w:jc w:val="center"/>
              <w:rPr>
                <w:rFonts w:eastAsia="仿宋"/>
                <w:color w:val="000000"/>
                <w:kern w:val="0"/>
                <w:sz w:val="24"/>
              </w:rPr>
            </w:pPr>
            <w:r>
              <w:rPr>
                <w:rFonts w:eastAsia="仿宋"/>
                <w:color w:val="000000"/>
                <w:kern w:val="0"/>
                <w:sz w:val="24"/>
              </w:rPr>
              <w:t>0.1</w:t>
            </w:r>
          </w:p>
        </w:tc>
      </w:tr>
    </w:tbl>
    <w:p>
      <w:pPr>
        <w:snapToGrid w:val="0"/>
        <w:spacing w:line="560" w:lineRule="exact"/>
        <w:ind w:firstLine="480"/>
        <w:rPr>
          <w:rFonts w:ascii="仿宋" w:hAnsi="仿宋" w:eastAsia="仿宋" w:cs="宋体"/>
          <w:color w:val="000000"/>
          <w:kern w:val="0"/>
          <w:sz w:val="24"/>
        </w:rPr>
      </w:pPr>
      <w:r>
        <w:rPr>
          <w:rFonts w:ascii="仿宋" w:hAnsi="仿宋" w:eastAsia="仿宋" w:cs="宋体"/>
          <w:color w:val="000000"/>
          <w:kern w:val="0"/>
          <w:sz w:val="24"/>
        </w:rPr>
        <w:t>我校作者作为第二</w:t>
      </w:r>
      <w:r>
        <w:rPr>
          <w:rFonts w:hint="eastAsia" w:ascii="仿宋" w:hAnsi="仿宋" w:eastAsia="仿宋" w:cs="宋体"/>
          <w:color w:val="000000"/>
          <w:kern w:val="0"/>
          <w:sz w:val="24"/>
        </w:rPr>
        <w:t>、第三完成单位成员</w:t>
      </w:r>
      <w:r>
        <w:rPr>
          <w:rFonts w:ascii="仿宋" w:hAnsi="仿宋" w:eastAsia="仿宋" w:cs="宋体"/>
          <w:color w:val="000000"/>
          <w:kern w:val="0"/>
          <w:sz w:val="24"/>
        </w:rPr>
        <w:t>申报奖励时，须提交该成果署名在前的合作者及所在单位科研管理部门提供的相关证明材料。</w:t>
      </w:r>
      <w:r>
        <w:rPr>
          <w:rFonts w:hint="eastAsia" w:ascii="仿宋" w:hAnsi="仿宋" w:eastAsia="仿宋" w:cs="宋体"/>
          <w:color w:val="000000"/>
          <w:kern w:val="0"/>
          <w:sz w:val="24"/>
        </w:rPr>
        <w:t>对于市厅级科研成果奖，只奖励“</w:t>
      </w:r>
      <w:r>
        <w:rPr>
          <w:rFonts w:ascii="仿宋" w:hAnsi="仿宋" w:eastAsia="仿宋" w:cs="宋体"/>
          <w:color w:val="000000"/>
          <w:kern w:val="0"/>
          <w:sz w:val="24"/>
        </w:rPr>
        <w:t>常州工学院</w:t>
      </w:r>
      <w:r>
        <w:rPr>
          <w:rFonts w:hint="eastAsia" w:ascii="仿宋" w:hAnsi="仿宋" w:eastAsia="仿宋" w:cs="宋体"/>
          <w:color w:val="000000"/>
          <w:kern w:val="0"/>
          <w:sz w:val="24"/>
        </w:rPr>
        <w:t>”为第一署名单位奖项。</w:t>
      </w:r>
    </w:p>
    <w:p>
      <w:pPr>
        <w:snapToGrid w:val="0"/>
        <w:spacing w:line="560" w:lineRule="exact"/>
        <w:ind w:firstLine="480"/>
        <w:rPr>
          <w:rFonts w:hint="eastAsia" w:ascii="仿宋" w:hAnsi="仿宋" w:eastAsia="仿宋" w:cs="宋体"/>
          <w:color w:val="000000"/>
          <w:kern w:val="0"/>
          <w:sz w:val="24"/>
        </w:rPr>
      </w:pPr>
      <w:r>
        <w:rPr>
          <w:rFonts w:eastAsia="仿宋"/>
          <w:color w:val="000000"/>
          <w:kern w:val="0"/>
          <w:sz w:val="24"/>
        </w:rPr>
        <w:t>7.我校离</w:t>
      </w:r>
      <w:r>
        <w:rPr>
          <w:rFonts w:hint="eastAsia" w:ascii="仿宋" w:hAnsi="仿宋" w:eastAsia="仿宋" w:cs="宋体"/>
          <w:color w:val="000000"/>
          <w:kern w:val="0"/>
          <w:sz w:val="24"/>
        </w:rPr>
        <w:t>退休</w:t>
      </w:r>
      <w:r>
        <w:rPr>
          <w:rFonts w:ascii="仿宋" w:hAnsi="仿宋" w:eastAsia="仿宋" w:cs="宋体"/>
          <w:color w:val="000000"/>
          <w:kern w:val="0"/>
          <w:sz w:val="24"/>
        </w:rPr>
        <w:t>职工</w:t>
      </w:r>
      <w:r>
        <w:rPr>
          <w:rFonts w:hint="eastAsia" w:ascii="仿宋" w:hAnsi="仿宋" w:eastAsia="仿宋" w:cs="宋体"/>
          <w:color w:val="000000"/>
          <w:kern w:val="0"/>
          <w:sz w:val="24"/>
        </w:rPr>
        <w:t>获得的成果奖励，仅奖励“</w:t>
      </w:r>
      <w:r>
        <w:rPr>
          <w:rFonts w:ascii="仿宋" w:hAnsi="仿宋" w:eastAsia="仿宋" w:cs="宋体"/>
          <w:color w:val="000000"/>
          <w:kern w:val="0"/>
          <w:sz w:val="24"/>
        </w:rPr>
        <w:t>常州工学院</w:t>
      </w:r>
      <w:r>
        <w:rPr>
          <w:rFonts w:hint="eastAsia" w:ascii="仿宋" w:hAnsi="仿宋" w:eastAsia="仿宋" w:cs="宋体"/>
          <w:color w:val="000000"/>
          <w:kern w:val="0"/>
          <w:sz w:val="24"/>
        </w:rPr>
        <w:t>”</w:t>
      </w:r>
      <w:r>
        <w:rPr>
          <w:rFonts w:ascii="仿宋" w:hAnsi="仿宋" w:eastAsia="仿宋" w:cs="宋体"/>
          <w:color w:val="000000"/>
          <w:kern w:val="0"/>
          <w:sz w:val="24"/>
        </w:rPr>
        <w:t>署名</w:t>
      </w:r>
      <w:r>
        <w:rPr>
          <w:rFonts w:hint="eastAsia" w:ascii="仿宋" w:hAnsi="仿宋" w:eastAsia="仿宋" w:cs="宋体"/>
          <w:color w:val="000000"/>
          <w:kern w:val="0"/>
          <w:sz w:val="24"/>
        </w:rPr>
        <w:t>为第一单位的成果。</w:t>
      </w:r>
    </w:p>
    <w:p>
      <w:pPr>
        <w:snapToGrid w:val="0"/>
        <w:spacing w:line="560" w:lineRule="exact"/>
        <w:ind w:firstLine="482"/>
        <w:rPr>
          <w:rFonts w:hint="eastAsia" w:ascii="仿宋" w:hAnsi="仿宋" w:eastAsia="仿宋" w:cs="宋体"/>
          <w:b/>
          <w:color w:val="000000"/>
          <w:kern w:val="0"/>
          <w:sz w:val="24"/>
        </w:rPr>
      </w:pPr>
      <w:r>
        <w:rPr>
          <w:rFonts w:hint="eastAsia" w:ascii="仿宋" w:hAnsi="仿宋" w:eastAsia="仿宋" w:cs="宋体"/>
          <w:b/>
          <w:color w:val="000000"/>
          <w:kern w:val="0"/>
          <w:sz w:val="24"/>
        </w:rPr>
        <w:t>五、艺术类成果奖励说明</w:t>
      </w:r>
    </w:p>
    <w:p>
      <w:pPr>
        <w:snapToGrid w:val="0"/>
        <w:spacing w:line="560" w:lineRule="exact"/>
        <w:ind w:firstLine="480"/>
        <w:rPr>
          <w:rFonts w:eastAsia="仿宋"/>
          <w:color w:val="000000"/>
          <w:kern w:val="0"/>
          <w:sz w:val="24"/>
        </w:rPr>
      </w:pPr>
      <w:r>
        <w:rPr>
          <w:rFonts w:eastAsia="仿宋"/>
          <w:color w:val="000000"/>
          <w:kern w:val="0"/>
          <w:sz w:val="24"/>
        </w:rPr>
        <w:t>1.若艺术类成果只设置优秀奖，则优秀奖对应一等奖，入选对应三等奖予以奖励。</w:t>
      </w:r>
    </w:p>
    <w:p>
      <w:pPr>
        <w:snapToGrid w:val="0"/>
        <w:spacing w:line="560" w:lineRule="exact"/>
        <w:ind w:firstLine="480"/>
        <w:rPr>
          <w:rFonts w:hint="eastAsia" w:eastAsia="仿宋"/>
          <w:color w:val="000000"/>
          <w:kern w:val="0"/>
          <w:sz w:val="24"/>
        </w:rPr>
      </w:pPr>
      <w:r>
        <w:rPr>
          <w:rFonts w:eastAsia="仿宋"/>
          <w:color w:val="000000"/>
          <w:kern w:val="0"/>
          <w:sz w:val="24"/>
        </w:rPr>
        <w:t>2.联合署名的国</w:t>
      </w:r>
      <w:r>
        <w:rPr>
          <w:rFonts w:ascii="仿宋" w:hAnsi="仿宋" w:eastAsia="仿宋" w:cs="宋体"/>
          <w:color w:val="000000"/>
          <w:kern w:val="0"/>
          <w:sz w:val="24"/>
        </w:rPr>
        <w:t>家级艺术成果奖，“常州工学院”为第二（或第三）署名单位的；联合署名的省部级艺术成果奖，“常州工学院”为第二署名单位的，且成果完成人对应排名（排名</w:t>
      </w:r>
      <w:r>
        <w:rPr>
          <w:rFonts w:eastAsia="仿宋"/>
          <w:color w:val="000000"/>
          <w:kern w:val="0"/>
          <w:sz w:val="24"/>
        </w:rPr>
        <w:t>取前6）是我校在职职工的，可申请相应奖励，奖金根据单位排名、署名排序确定，具体参见获奖科研成果奖励相关说明6。</w:t>
      </w:r>
    </w:p>
    <w:p>
      <w:pPr>
        <w:snapToGrid w:val="0"/>
        <w:spacing w:line="560" w:lineRule="exact"/>
        <w:ind w:firstLine="482"/>
        <w:rPr>
          <w:rFonts w:hint="eastAsia" w:ascii="仿宋" w:hAnsi="仿宋" w:eastAsia="仿宋" w:cs="宋体"/>
          <w:b/>
          <w:color w:val="000000"/>
          <w:kern w:val="0"/>
          <w:sz w:val="24"/>
        </w:rPr>
      </w:pPr>
      <w:r>
        <w:rPr>
          <w:rFonts w:hint="eastAsia" w:ascii="仿宋" w:hAnsi="仿宋" w:eastAsia="仿宋" w:cs="宋体"/>
          <w:b/>
          <w:color w:val="000000"/>
          <w:kern w:val="0"/>
          <w:sz w:val="24"/>
        </w:rPr>
        <w:t>六、技术标准奖励说明</w:t>
      </w:r>
    </w:p>
    <w:p>
      <w:pPr>
        <w:snapToGrid w:val="0"/>
        <w:spacing w:line="560" w:lineRule="exact"/>
        <w:ind w:firstLine="480"/>
        <w:rPr>
          <w:rFonts w:eastAsia="仿宋"/>
          <w:color w:val="000000"/>
          <w:kern w:val="0"/>
          <w:sz w:val="24"/>
        </w:rPr>
      </w:pPr>
      <w:r>
        <w:rPr>
          <w:rFonts w:eastAsia="仿宋"/>
          <w:color w:val="000000"/>
          <w:kern w:val="0"/>
          <w:sz w:val="24"/>
        </w:rPr>
        <w:t>1.对于联合署名的技术标准</w:t>
      </w:r>
      <w:r>
        <w:rPr>
          <w:rFonts w:hint="eastAsia" w:ascii="仿宋" w:hAnsi="仿宋" w:eastAsia="仿宋" w:cs="宋体"/>
          <w:color w:val="000000"/>
          <w:kern w:val="0"/>
          <w:sz w:val="24"/>
        </w:rPr>
        <w:t>成果，“常州工学院”为第二至第六署名单位的</w:t>
      </w:r>
      <w:r>
        <w:rPr>
          <w:rFonts w:ascii="仿宋" w:hAnsi="仿宋" w:eastAsia="仿宋" w:cs="宋体"/>
          <w:color w:val="000000"/>
          <w:kern w:val="0"/>
          <w:sz w:val="24"/>
        </w:rPr>
        <w:t>，</w:t>
      </w:r>
      <w:r>
        <w:rPr>
          <w:rFonts w:eastAsia="仿宋"/>
          <w:color w:val="000000"/>
          <w:kern w:val="0"/>
          <w:sz w:val="24"/>
        </w:rPr>
        <w:t>按50%予以奖励。</w:t>
      </w:r>
    </w:p>
    <w:p>
      <w:pPr>
        <w:snapToGrid w:val="0"/>
        <w:spacing w:line="560" w:lineRule="exact"/>
        <w:ind w:firstLine="480"/>
        <w:rPr>
          <w:rFonts w:eastAsia="仿宋"/>
          <w:color w:val="000000"/>
          <w:kern w:val="0"/>
          <w:sz w:val="24"/>
        </w:rPr>
      </w:pPr>
      <w:r>
        <w:rPr>
          <w:rFonts w:eastAsia="仿宋"/>
          <w:color w:val="000000"/>
          <w:kern w:val="0"/>
          <w:sz w:val="24"/>
        </w:rPr>
        <w:t>2.国家标准是指由国家质量监督检验检疫总局立项及颁布的技术标准；</w:t>
      </w:r>
    </w:p>
    <w:p>
      <w:pPr>
        <w:snapToGrid w:val="0"/>
        <w:spacing w:line="560" w:lineRule="exact"/>
        <w:ind w:firstLine="480"/>
        <w:rPr>
          <w:rFonts w:eastAsia="仿宋"/>
          <w:color w:val="000000"/>
          <w:kern w:val="0"/>
          <w:sz w:val="24"/>
        </w:rPr>
      </w:pPr>
      <w:r>
        <w:rPr>
          <w:rFonts w:eastAsia="仿宋"/>
          <w:color w:val="000000"/>
          <w:kern w:val="0"/>
          <w:sz w:val="24"/>
        </w:rPr>
        <w:t>3.行业标准是指由国家部委或其授权的国家级行业学会（协会）立项并颁布的全国性行业通用的技术标准；</w:t>
      </w:r>
    </w:p>
    <w:p>
      <w:pPr>
        <w:snapToGrid w:val="0"/>
        <w:spacing w:line="560" w:lineRule="exact"/>
        <w:ind w:firstLine="480"/>
      </w:pPr>
      <w:r>
        <w:rPr>
          <w:rFonts w:eastAsia="仿宋"/>
          <w:color w:val="000000"/>
          <w:kern w:val="0"/>
          <w:sz w:val="24"/>
        </w:rPr>
        <w:t>4.地方标准是指由省级质检主管部门其授权的省级行业学会（协会）立项及颁布的地方性技术标</w:t>
      </w:r>
      <w:r>
        <w:rPr>
          <w:rFonts w:hint="eastAsia" w:ascii="仿宋" w:hAnsi="仿宋" w:eastAsia="仿宋" w:cs="宋体"/>
          <w:color w:val="000000"/>
          <w:kern w:val="0"/>
          <w:sz w:val="24"/>
        </w:rPr>
        <w:t>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558E"/>
    <w:multiLevelType w:val="multilevel"/>
    <w:tmpl w:val="1056558E"/>
    <w:lvl w:ilvl="0" w:tentative="0">
      <w:start w:val="1"/>
      <w:numFmt w:val="japaneseCounting"/>
      <w:lvlText w:val="第%1章"/>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0266C"/>
    <w:rsid w:val="48F026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sz w:val="36"/>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2018-01-10T08:32:00Z</dcterms:created>
  <dc:creator>Administrator</dc:creator>
  <cp:lastModifiedBy>Administrator</cp:lastModifiedBy>
  <dcterms:modified xsi:type="dcterms:W3CDTF">2018-01-10T08:34:22Z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