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附件</w:t>
      </w:r>
      <w:r>
        <w:rPr>
          <w:rFonts w:ascii="Times New Roman" w:hAnsi="Times New Roman" w:eastAsia="仿宋_GB2312" w:cs="Times New Roman"/>
          <w:color w:val="000000" w:themeColor="text1"/>
          <w:sz w:val="30"/>
          <w:szCs w:val="30"/>
          <w14:textFill>
            <w14:solidFill>
              <w14:schemeClr w14:val="tx1"/>
            </w14:solidFill>
          </w14:textFill>
        </w:rPr>
        <w:t>4</w:t>
      </w:r>
    </w:p>
    <w:p>
      <w:pPr>
        <w:adjustRightInd w:val="0"/>
        <w:snapToGrid w:val="0"/>
        <w:jc w:val="center"/>
        <w:rPr>
          <w:rFonts w:ascii="Times New Roman" w:hAnsi="Times New Roman" w:eastAsia="仿宋" w:cs="Times New Roman"/>
          <w:b/>
          <w:bCs/>
          <w:color w:val="000000" w:themeColor="text1"/>
          <w:sz w:val="28"/>
          <w:szCs w:val="24"/>
          <w14:textFill>
            <w14:solidFill>
              <w14:schemeClr w14:val="tx1"/>
            </w14:solidFill>
          </w14:textFill>
        </w:rPr>
      </w:pPr>
      <w:r>
        <w:rPr>
          <w:rFonts w:hint="eastAsia" w:ascii="Times New Roman" w:hAnsi="Times New Roman" w:eastAsia="方正小标宋简体" w:cs="Times New Roman"/>
          <w:b/>
          <w:bCs/>
          <w:color w:val="000000" w:themeColor="text1"/>
          <w:kern w:val="44"/>
          <w:sz w:val="36"/>
          <w:szCs w:val="36"/>
          <w14:textFill>
            <w14:solidFill>
              <w14:schemeClr w14:val="tx1"/>
            </w14:solidFill>
          </w14:textFill>
        </w:rPr>
        <w:t>师范类专业认证持续改进证据清单</w:t>
      </w:r>
    </w:p>
    <w:p>
      <w:pPr>
        <w:adjustRightInd w:val="0"/>
        <w:snapToGrid w:val="0"/>
        <w:rPr>
          <w:rFonts w:ascii="Times New Roman" w:hAnsi="Times New Roman" w:eastAsia="仿宋" w:cs="Times New Roman"/>
          <w:color w:val="000000" w:themeColor="text1"/>
          <w:sz w:val="30"/>
          <w:szCs w:val="30"/>
          <w14:textFill>
            <w14:solidFill>
              <w14:schemeClr w14:val="tx1"/>
            </w14:solidFill>
          </w14:textFill>
        </w:rPr>
      </w:pPr>
    </w:p>
    <w:p>
      <w:pPr>
        <w:adjustRightInd w:val="0"/>
        <w:snapToGrid w:val="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****（认证机构名称）：</w:t>
      </w:r>
    </w:p>
    <w:p>
      <w:pPr>
        <w:adjustRightInd w:val="0"/>
        <w:snapToGrid w:val="0"/>
        <w:rPr>
          <w:rFonts w:ascii="Times New Roman" w:hAnsi="Times New Roman" w:eastAsia="仿宋_GB2312" w:cs="Times New Roman"/>
          <w:color w:val="000000" w:themeColor="text1"/>
          <w:sz w:val="30"/>
          <w:szCs w:val="30"/>
          <w14:textFill>
            <w14:solidFill>
              <w14:schemeClr w14:val="tx1"/>
            </w14:solidFill>
          </w14:textFill>
        </w:rPr>
      </w:pP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根据《普通高等学校师范类专业认证实施办法（暂行）》有关规定，我校以下专业于</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年</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月通过认证，认证结论为：。经过持续改进与建设，现提交师范类专业认证持续改进证据清单，请予以审核。</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学校名称：                       </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专业名称：</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专业类别： （学前/小教/中教/职教/特教）</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认证等级：</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认证结论：</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有效期起止时间：             </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专业负责人：                     </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联系电话：                       </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专业联系人：                     </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联系电话：                       </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电子邮箱：                     </w:t>
      </w:r>
    </w:p>
    <w:p>
      <w:pPr>
        <w:adjustRightInd w:val="0"/>
        <w:snapToGrid w:val="0"/>
        <w:ind w:firstLine="600"/>
        <w:rPr>
          <w:rFonts w:ascii="Times New Roman" w:hAnsi="Times New Roman" w:eastAsia="仿宋_GB2312" w:cs="Times New Roman"/>
          <w:b/>
          <w:color w:val="000000" w:themeColor="text1"/>
          <w:sz w:val="30"/>
          <w:szCs w:val="30"/>
          <w14:textFill>
            <w14:solidFill>
              <w14:schemeClr w14:val="tx1"/>
            </w14:solidFill>
          </w14:textFill>
        </w:rPr>
      </w:pPr>
      <w:r>
        <w:rPr>
          <w:rFonts w:hint="eastAsia" w:ascii="Times New Roman" w:hAnsi="Times New Roman" w:eastAsia="仿宋_GB2312" w:cs="Times New Roman"/>
          <w:b/>
          <w:color w:val="000000" w:themeColor="text1"/>
          <w:sz w:val="30"/>
          <w:szCs w:val="30"/>
          <w14:textFill>
            <w14:solidFill>
              <w14:schemeClr w14:val="tx1"/>
            </w14:solidFill>
          </w14:textFill>
        </w:rPr>
        <w:t>我校承诺，本证据清单及所有附件材料完全属实。</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p>
    <w:p>
      <w:pPr>
        <w:adjustRightInd w:val="0"/>
        <w:snapToGrid w:val="0"/>
        <w:ind w:right="150"/>
        <w:jc w:val="right"/>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学校负责人签字</w:t>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 xml:space="preserve">         </w:t>
      </w:r>
    </w:p>
    <w:p>
      <w:pPr>
        <w:adjustRightInd w:val="0"/>
        <w:snapToGrid w:val="0"/>
        <w:ind w:right="1050"/>
        <w:jc w:val="right"/>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学校（盖章） ：</w:t>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p>
    <w:p>
      <w:pPr>
        <w:adjustRightInd w:val="0"/>
        <w:snapToGrid w:val="0"/>
        <w:ind w:firstLine="4536"/>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年    月    日</w:t>
      </w:r>
      <w:r>
        <w:rPr>
          <w:rFonts w:ascii="Times New Roman" w:hAnsi="Times New Roman" w:eastAsia="仿宋" w:cs="Times New Roman"/>
          <w:b/>
          <w:color w:val="000000" w:themeColor="text1"/>
          <w:sz w:val="24"/>
          <w:szCs w:val="24"/>
          <w14:textFill>
            <w14:solidFill>
              <w14:schemeClr w14:val="tx1"/>
            </w14:solidFill>
          </w14:textFill>
        </w:rPr>
        <w:br w:type="page"/>
      </w:r>
    </w:p>
    <w:p>
      <w:pPr>
        <w:widowControl/>
        <w:adjustRightInd w:val="0"/>
        <w:snapToGrid w:val="0"/>
        <w:spacing w:after="156" w:afterLines="50"/>
        <w:rPr>
          <w:rFonts w:ascii="Times New Roman" w:hAnsi="Times New Roman" w:eastAsia="仿宋" w:cs="Times New Roman"/>
          <w:b/>
          <w:color w:val="000000" w:themeColor="text1"/>
          <w:spacing w:val="-6"/>
          <w:sz w:val="24"/>
          <w:szCs w:val="24"/>
          <w14:textFill>
            <w14:solidFill>
              <w14:schemeClr w14:val="tx1"/>
            </w14:solidFill>
          </w14:textFill>
        </w:rPr>
      </w:pPr>
    </w:p>
    <w:p>
      <w:pPr>
        <w:widowControl/>
        <w:adjustRightInd w:val="0"/>
        <w:snapToGrid w:val="0"/>
        <w:spacing w:after="156" w:afterLines="50"/>
        <w:rPr>
          <w:rFonts w:ascii="Times New Roman" w:hAnsi="Times New Roman" w:eastAsia="黑体" w:cs="Times New Roman"/>
          <w:b/>
          <w:color w:val="000000" w:themeColor="text1"/>
          <w:spacing w:val="-6"/>
          <w:sz w:val="30"/>
          <w:szCs w:val="30"/>
          <w14:textFill>
            <w14:solidFill>
              <w14:schemeClr w14:val="tx1"/>
            </w14:solidFill>
          </w14:textFill>
        </w:rPr>
      </w:pPr>
      <w:r>
        <w:rPr>
          <w:rFonts w:hint="eastAsia" w:ascii="Times New Roman" w:hAnsi="Times New Roman" w:eastAsia="黑体" w:cs="Times New Roman"/>
          <w:b/>
          <w:color w:val="000000" w:themeColor="text1"/>
          <w:spacing w:val="-6"/>
          <w:sz w:val="30"/>
          <w:szCs w:val="30"/>
          <w14:textFill>
            <w14:solidFill>
              <w14:schemeClr w14:val="tx1"/>
            </w14:solidFill>
          </w14:textFill>
        </w:rPr>
        <w:t>填写</w:t>
      </w:r>
      <w:r>
        <w:rPr>
          <w:rFonts w:ascii="Times New Roman" w:hAnsi="Times New Roman" w:eastAsia="黑体" w:cs="Times New Roman"/>
          <w:b/>
          <w:color w:val="000000" w:themeColor="text1"/>
          <w:spacing w:val="-6"/>
          <w:sz w:val="30"/>
          <w:szCs w:val="30"/>
          <w14:textFill>
            <w14:solidFill>
              <w14:schemeClr w14:val="tx1"/>
            </w14:solidFill>
          </w14:textFill>
        </w:rPr>
        <w:t>说明</w:t>
      </w:r>
      <w:r>
        <w:rPr>
          <w:rFonts w:hint="eastAsia" w:ascii="Times New Roman" w:hAnsi="Times New Roman" w:eastAsia="黑体" w:cs="Times New Roman"/>
          <w:b/>
          <w:color w:val="000000" w:themeColor="text1"/>
          <w:spacing w:val="-6"/>
          <w:sz w:val="30"/>
          <w:szCs w:val="30"/>
          <w14:textFill>
            <w14:solidFill>
              <w14:schemeClr w14:val="tx1"/>
            </w14:solidFill>
          </w14:textFill>
        </w:rPr>
        <w:t>：</w:t>
      </w:r>
    </w:p>
    <w:p>
      <w:pPr>
        <w:pStyle w:val="16"/>
        <w:widowControl/>
        <w:spacing w:after="0"/>
        <w:ind w:left="420" w:firstLine="0" w:firstLineChars="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1</w:t>
      </w:r>
      <w:r>
        <w:rPr>
          <w:rFonts w:ascii="Times New Roman" w:hAnsi="Times New Roman" w:eastAsia="仿宋_GB2312"/>
          <w:color w:val="000000" w:themeColor="text1"/>
          <w:spacing w:val="-6"/>
          <w:sz w:val="30"/>
          <w:szCs w:val="30"/>
          <w14:textFill>
            <w14:solidFill>
              <w14:schemeClr w14:val="tx1"/>
            </w14:solidFill>
          </w14:textFill>
        </w:rPr>
        <w:t>.</w:t>
      </w:r>
      <w:r>
        <w:rPr>
          <w:rFonts w:hint="eastAsia" w:ascii="Times New Roman" w:hAnsi="Times New Roman" w:eastAsia="仿宋_GB2312"/>
          <w:color w:val="000000" w:themeColor="text1"/>
          <w:spacing w:val="-6"/>
          <w:sz w:val="30"/>
          <w:szCs w:val="30"/>
          <w14:textFill>
            <w14:solidFill>
              <w14:schemeClr w14:val="tx1"/>
            </w14:solidFill>
          </w14:textFill>
        </w:rPr>
        <w:t>封面需学校负责人签字、盖校章，否则不予审核。</w:t>
      </w:r>
    </w:p>
    <w:p>
      <w:pPr>
        <w:widowControl/>
        <w:ind w:left="141" w:leftChars="67" w:firstLine="288" w:firstLineChars="100"/>
        <w:rPr>
          <w:rFonts w:ascii="Times New Roman" w:hAnsi="Times New Roman" w:eastAsia="仿宋_GB2312"/>
          <w:color w:val="000000" w:themeColor="text1"/>
          <w:spacing w:val="-6"/>
          <w:sz w:val="30"/>
          <w:szCs w:val="30"/>
          <w14:textFill>
            <w14:solidFill>
              <w14:schemeClr w14:val="tx1"/>
            </w14:solidFill>
          </w14:textFill>
        </w:rPr>
      </w:pPr>
      <w:r>
        <w:rPr>
          <w:rFonts w:ascii="Times New Roman" w:hAnsi="Times New Roman" w:eastAsia="仿宋_GB2312"/>
          <w:color w:val="000000" w:themeColor="text1"/>
          <w:spacing w:val="-6"/>
          <w:sz w:val="30"/>
          <w:szCs w:val="30"/>
          <w14:textFill>
            <w14:solidFill>
              <w14:schemeClr w14:val="tx1"/>
            </w14:solidFill>
          </w14:textFill>
        </w:rPr>
        <w:t>2.</w:t>
      </w:r>
      <w:r>
        <w:rPr>
          <w:rFonts w:hint="eastAsia" w:ascii="Times New Roman" w:hAnsi="Times New Roman" w:eastAsia="仿宋_GB2312"/>
          <w:color w:val="000000" w:themeColor="text1"/>
          <w:spacing w:val="-6"/>
          <w:sz w:val="30"/>
          <w:szCs w:val="30"/>
          <w14:textFill>
            <w14:solidFill>
              <w14:schemeClr w14:val="tx1"/>
            </w14:solidFill>
          </w14:textFill>
        </w:rPr>
        <w:t>专业应重点针对认证报告中提出的“主线”“底线”方面存在的问题，以证据清单的形式，如实证明</w:t>
      </w:r>
      <w:r>
        <w:rPr>
          <w:rFonts w:hint="eastAsia" w:ascii="Times New Roman" w:hAnsi="Times New Roman" w:eastAsia="仿宋_GB2312" w:cs="Times New Roman"/>
          <w:color w:val="000000" w:themeColor="text1"/>
          <w:sz w:val="30"/>
          <w:szCs w:val="30"/>
          <w14:textFill>
            <w14:solidFill>
              <w14:schemeClr w14:val="tx1"/>
            </w14:solidFill>
          </w14:textFill>
        </w:rPr>
        <w:t>支撑毕业要求的课程教学体系的整改情况和面向产出的内部评价机制的完善及运行情况，</w:t>
      </w:r>
      <w:r>
        <w:rPr>
          <w:rFonts w:hint="eastAsia" w:ascii="Times New Roman" w:hAnsi="Times New Roman" w:eastAsia="仿宋_GB2312"/>
          <w:color w:val="000000" w:themeColor="text1"/>
          <w:spacing w:val="-6"/>
          <w:sz w:val="30"/>
          <w:szCs w:val="30"/>
          <w14:textFill>
            <w14:solidFill>
              <w14:schemeClr w14:val="tx1"/>
            </w14:solidFill>
          </w14:textFill>
        </w:rPr>
        <w:t>无需按每个指标项描述</w:t>
      </w:r>
      <w:r>
        <w:rPr>
          <w:rFonts w:hint="eastAsia" w:ascii="Times New Roman" w:hAnsi="Times New Roman" w:eastAsia="仿宋_GB2312" w:cs="Times New Roman"/>
          <w:color w:val="000000" w:themeColor="text1"/>
          <w:sz w:val="30"/>
          <w:szCs w:val="30"/>
          <w14:textFill>
            <w14:solidFill>
              <w14:schemeClr w14:val="tx1"/>
            </w14:solidFill>
          </w14:textFill>
        </w:rPr>
        <w:t>；并对应清单分项</w:t>
      </w:r>
      <w:r>
        <w:rPr>
          <w:rFonts w:hint="eastAsia" w:ascii="Times New Roman" w:hAnsi="Times New Roman" w:eastAsia="仿宋_GB2312"/>
          <w:color w:val="000000" w:themeColor="text1"/>
          <w:spacing w:val="-6"/>
          <w:sz w:val="30"/>
          <w:szCs w:val="30"/>
          <w14:textFill>
            <w14:solidFill>
              <w14:schemeClr w14:val="tx1"/>
            </w14:solidFill>
          </w14:textFill>
        </w:rPr>
        <w:t>提供佐证和支撑材料。</w:t>
      </w:r>
    </w:p>
    <w:p>
      <w:pPr>
        <w:widowControl/>
        <w:ind w:firstLine="426" w:firstLineChars="142"/>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3.</w:t>
      </w:r>
      <w:r>
        <w:rPr>
          <w:rFonts w:hint="eastAsia" w:ascii="Times New Roman" w:hAnsi="Times New Roman" w:eastAsia="仿宋_GB2312"/>
          <w:color w:val="000000" w:themeColor="text1"/>
          <w:spacing w:val="-6"/>
          <w:sz w:val="30"/>
          <w:szCs w:val="30"/>
          <w14:textFill>
            <w14:solidFill>
              <w14:schemeClr w14:val="tx1"/>
            </w14:solidFill>
          </w14:textFill>
        </w:rPr>
        <w:t>按照《师范类专业认证整改工作方案》与《师范类专业认证持续改进情况报备要求》规范提供证据支撑材料，对应清单分类分项打包证据形成“产出主线改进证据”“评价底线改进证据”（其中课程评价材料包括培养方案中</w:t>
      </w:r>
      <w:r>
        <w:rPr>
          <w:rFonts w:hint="eastAsia" w:ascii="Times New Roman" w:hAnsi="Times New Roman" w:eastAsia="仿宋_GB2312"/>
          <w:b/>
          <w:bCs/>
          <w:color w:val="000000" w:themeColor="text1"/>
          <w:spacing w:val="-6"/>
          <w:sz w:val="30"/>
          <w:szCs w:val="30"/>
          <w14:textFill>
            <w14:solidFill>
              <w14:schemeClr w14:val="tx1"/>
            </w14:solidFill>
          </w14:textFill>
        </w:rPr>
        <w:t>全部必修课程</w:t>
      </w:r>
      <w:r>
        <w:rPr>
          <w:rFonts w:hint="eastAsia" w:ascii="Times New Roman" w:hAnsi="Times New Roman" w:eastAsia="仿宋_GB2312"/>
          <w:color w:val="000000" w:themeColor="text1"/>
          <w:spacing w:val="-6"/>
          <w:sz w:val="30"/>
          <w:szCs w:val="30"/>
          <w14:textFill>
            <w14:solidFill>
              <w14:schemeClr w14:val="tx1"/>
            </w14:solidFill>
          </w14:textFill>
        </w:rPr>
        <w:t>教学大纲以及每门课程一位学生课程过程性与结果性考核材料抽样、课程目标达成情况评价分析报告）、“其它主要问题改进证据”三个支撑材料包。支撑材料有交叉的，或与年度报备材料有重复的，可用“见</w:t>
      </w:r>
      <w:r>
        <w:rPr>
          <w:rFonts w:ascii="Times New Roman" w:hAnsi="Times New Roman" w:eastAsia="仿宋_GB2312"/>
          <w:color w:val="000000" w:themeColor="text1"/>
          <w:spacing w:val="-6"/>
          <w:sz w:val="30"/>
          <w:szCs w:val="30"/>
          <w14:textFill>
            <w14:solidFill>
              <w14:schemeClr w14:val="tx1"/>
            </w14:solidFill>
          </w14:textFill>
        </w:rPr>
        <w:t>……”</w:t>
      </w:r>
      <w:r>
        <w:rPr>
          <w:rFonts w:hint="eastAsia" w:ascii="Times New Roman" w:hAnsi="Times New Roman" w:eastAsia="仿宋_GB2312"/>
          <w:color w:val="000000" w:themeColor="text1"/>
          <w:spacing w:val="-6"/>
          <w:sz w:val="30"/>
          <w:szCs w:val="30"/>
          <w14:textFill>
            <w14:solidFill>
              <w14:schemeClr w14:val="tx1"/>
            </w14:solidFill>
          </w14:textFill>
        </w:rPr>
        <w:t>方式处理。</w:t>
      </w:r>
    </w:p>
    <w:p>
      <w:pPr>
        <w:widowControl/>
        <w:ind w:firstLine="576" w:firstLineChars="20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4.持续改进证据清单电子版以PDF格式</w:t>
      </w:r>
      <w:r>
        <w:rPr>
          <w:rFonts w:ascii="Times New Roman" w:hAnsi="Times New Roman" w:eastAsia="仿宋_GB2312"/>
          <w:color w:val="000000" w:themeColor="text1"/>
          <w:spacing w:val="-6"/>
          <w:sz w:val="30"/>
          <w:szCs w:val="30"/>
          <w14:textFill>
            <w14:solidFill>
              <w14:schemeClr w14:val="tx1"/>
            </w14:solidFill>
          </w14:textFill>
        </w:rPr>
        <w:t>上传至师范类专业</w:t>
      </w:r>
      <w:r>
        <w:rPr>
          <w:rFonts w:hint="eastAsia" w:ascii="Times New Roman" w:hAnsi="Times New Roman" w:eastAsia="仿宋_GB2312"/>
          <w:color w:val="000000" w:themeColor="text1"/>
          <w:spacing w:val="-6"/>
          <w:sz w:val="30"/>
          <w:szCs w:val="30"/>
          <w14:textFill>
            <w14:solidFill>
              <w14:schemeClr w14:val="tx1"/>
            </w14:solidFill>
          </w14:textFill>
        </w:rPr>
        <w:t>认证</w:t>
      </w:r>
      <w:r>
        <w:rPr>
          <w:rFonts w:ascii="Times New Roman" w:hAnsi="Times New Roman" w:eastAsia="仿宋_GB2312"/>
          <w:color w:val="000000" w:themeColor="text1"/>
          <w:spacing w:val="-6"/>
          <w:sz w:val="30"/>
          <w:szCs w:val="30"/>
          <w14:textFill>
            <w14:solidFill>
              <w14:schemeClr w14:val="tx1"/>
            </w14:solidFill>
          </w14:textFill>
        </w:rPr>
        <w:t>管理信息系统</w:t>
      </w:r>
      <w:r>
        <w:rPr>
          <w:rFonts w:hint="eastAsia" w:ascii="Times New Roman" w:hAnsi="Times New Roman" w:eastAsia="仿宋_GB2312"/>
          <w:color w:val="000000" w:themeColor="text1"/>
          <w:spacing w:val="-6"/>
          <w:sz w:val="30"/>
          <w:szCs w:val="30"/>
          <w14:textFill>
            <w14:solidFill>
              <w14:schemeClr w14:val="tx1"/>
            </w14:solidFill>
          </w14:textFill>
        </w:rPr>
        <w:t>，不要上传压缩文件，一个文件中包含多个材料，建议做目录和链接，便于专家查找。</w:t>
      </w:r>
    </w:p>
    <w:p>
      <w:pPr>
        <w:pStyle w:val="16"/>
        <w:widowControl/>
        <w:numPr>
          <w:ilvl w:val="0"/>
          <w:numId w:val="1"/>
        </w:numPr>
        <w:ind w:firstLineChars="0"/>
        <w:jc w:val="left"/>
        <w:rPr>
          <w:rFonts w:ascii="Times New Roman" w:hAnsi="Times New Roman" w:eastAsia="仿宋_GB2312"/>
          <w:color w:val="000000" w:themeColor="text1"/>
          <w:spacing w:val="-6"/>
          <w:sz w:val="30"/>
          <w:szCs w:val="30"/>
          <w14:textFill>
            <w14:solidFill>
              <w14:schemeClr w14:val="tx1"/>
            </w14:solidFill>
          </w14:textFill>
        </w:rPr>
      </w:pPr>
      <w:r>
        <w:rPr>
          <w:rFonts w:ascii="Times New Roman" w:hAnsi="Times New Roman" w:eastAsia="仿宋_GB2312"/>
          <w:color w:val="000000" w:themeColor="text1"/>
          <w:spacing w:val="-6"/>
          <w:sz w:val="30"/>
          <w:szCs w:val="30"/>
          <w14:textFill>
            <w14:solidFill>
              <w14:schemeClr w14:val="tx1"/>
            </w14:solidFill>
          </w14:textFill>
        </w:rPr>
        <w:br w:type="page"/>
      </w:r>
    </w:p>
    <w:p>
      <w:pPr>
        <w:widowControl/>
        <w:ind w:firstLine="577" w:firstLineChars="200"/>
        <w:rPr>
          <w:rFonts w:ascii="Times New Roman" w:hAnsi="Times New Roman" w:eastAsia="黑体" w:cs="Times New Roman"/>
          <w:b/>
          <w:color w:val="000000" w:themeColor="text1"/>
          <w:spacing w:val="-6"/>
          <w:sz w:val="30"/>
          <w:szCs w:val="30"/>
          <w14:textFill>
            <w14:solidFill>
              <w14:schemeClr w14:val="tx1"/>
            </w14:solidFill>
          </w14:textFill>
        </w:rPr>
      </w:pPr>
      <w:r>
        <w:rPr>
          <w:rFonts w:hint="eastAsia" w:ascii="Times New Roman" w:hAnsi="Times New Roman" w:eastAsia="黑体" w:cs="Times New Roman"/>
          <w:b/>
          <w:color w:val="000000" w:themeColor="text1"/>
          <w:spacing w:val="-6"/>
          <w:sz w:val="30"/>
          <w:szCs w:val="30"/>
          <w14:textFill>
            <w14:solidFill>
              <w14:schemeClr w14:val="tx1"/>
            </w14:solidFill>
          </w14:textFill>
        </w:rPr>
        <w:t>一、专业情况简介</w:t>
      </w:r>
    </w:p>
    <w:p>
      <w:pPr>
        <w:widowControl/>
        <w:ind w:firstLine="576" w:firstLineChars="200"/>
        <w:rPr>
          <w:rFonts w:ascii="Times New Roman" w:hAnsi="Times New Roman" w:eastAsia="仿宋_GB2312" w:cs="Times New Roman"/>
          <w:color w:val="000000" w:themeColor="text1"/>
          <w:spacing w:val="-6"/>
          <w:sz w:val="30"/>
          <w:szCs w:val="30"/>
          <w14:textFill>
            <w14:solidFill>
              <w14:schemeClr w14:val="tx1"/>
            </w14:solidFill>
          </w14:textFill>
        </w:rPr>
      </w:pPr>
      <w:r>
        <w:rPr>
          <w:rFonts w:hint="eastAsia" w:ascii="Times New Roman" w:hAnsi="Times New Roman" w:eastAsia="仿宋_GB2312" w:cs="Times New Roman"/>
          <w:color w:val="000000" w:themeColor="text1"/>
          <w:spacing w:val="-6"/>
          <w:sz w:val="30"/>
          <w:szCs w:val="30"/>
          <w14:textFill>
            <w14:solidFill>
              <w14:schemeClr w14:val="tx1"/>
            </w14:solidFill>
          </w14:textFill>
        </w:rPr>
        <w:t>（简要介绍专业与认证相关的基本现状，本轮认证结果，认证有效期起止时间等。</w:t>
      </w:r>
      <w:r>
        <w:rPr>
          <w:rFonts w:ascii="Times New Roman" w:hAnsi="Times New Roman" w:eastAsia="仿宋_GB2312" w:cs="Times New Roman"/>
          <w:color w:val="000000" w:themeColor="text1"/>
          <w:spacing w:val="-6"/>
          <w:sz w:val="30"/>
          <w:szCs w:val="30"/>
          <w14:textFill>
            <w14:solidFill>
              <w14:schemeClr w14:val="tx1"/>
            </w14:solidFill>
          </w14:textFill>
        </w:rPr>
        <w:t>500</w:t>
      </w:r>
      <w:r>
        <w:rPr>
          <w:rFonts w:hint="eastAsia" w:ascii="Times New Roman" w:hAnsi="Times New Roman" w:eastAsia="仿宋_GB2312" w:cs="Times New Roman"/>
          <w:color w:val="000000" w:themeColor="text1"/>
          <w:spacing w:val="-6"/>
          <w:sz w:val="30"/>
          <w:szCs w:val="30"/>
          <w14:textFill>
            <w14:solidFill>
              <w14:schemeClr w14:val="tx1"/>
            </w14:solidFill>
          </w14:textFill>
        </w:rPr>
        <w:t>字以内）</w:t>
      </w:r>
    </w:p>
    <w:p>
      <w:pPr>
        <w:widowControl/>
        <w:ind w:firstLine="577" w:firstLineChars="200"/>
        <w:rPr>
          <w:rFonts w:ascii="Times New Roman" w:hAnsi="Times New Roman" w:eastAsia="黑体" w:cs="Times New Roman"/>
          <w:b/>
          <w:color w:val="000000" w:themeColor="text1"/>
          <w:spacing w:val="-6"/>
          <w:sz w:val="30"/>
          <w:szCs w:val="30"/>
          <w14:textFill>
            <w14:solidFill>
              <w14:schemeClr w14:val="tx1"/>
            </w14:solidFill>
          </w14:textFill>
        </w:rPr>
      </w:pPr>
      <w:r>
        <w:rPr>
          <w:rFonts w:hint="eastAsia" w:ascii="Times New Roman" w:hAnsi="Times New Roman" w:eastAsia="黑体" w:cs="Times New Roman"/>
          <w:b/>
          <w:color w:val="000000" w:themeColor="text1"/>
          <w:spacing w:val="-6"/>
          <w:sz w:val="30"/>
          <w:szCs w:val="30"/>
          <w14:textFill>
            <w14:solidFill>
              <w14:schemeClr w14:val="tx1"/>
            </w14:solidFill>
          </w14:textFill>
        </w:rPr>
        <w:t>二、持续改进证据清单</w:t>
      </w:r>
    </w:p>
    <w:p>
      <w:pPr>
        <w:widowControl/>
        <w:jc w:val="center"/>
        <w:rPr>
          <w:rFonts w:ascii="Times New Roman" w:hAnsi="Times New Roman" w:cs="Times New Roman"/>
          <w:color w:val="000000" w:themeColor="text1"/>
          <w:spacing w:val="-6"/>
          <w:sz w:val="24"/>
          <w:szCs w:val="24"/>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ascii="Times New Roman" w:hAnsi="Times New Roman" w:cs="Times New Roman"/>
          <w:b/>
          <w:bCs/>
          <w:color w:val="000000" w:themeColor="text1"/>
          <w:spacing w:val="-6"/>
          <w:sz w:val="24"/>
          <w:szCs w:val="24"/>
          <w14:textFill>
            <w14:solidFill>
              <w14:schemeClr w14:val="tx1"/>
            </w14:solidFill>
          </w14:textFill>
        </w:rPr>
      </w:pPr>
      <w:bookmarkStart w:id="0" w:name="_Hlk140076634"/>
      <w:r>
        <w:rPr>
          <w:rFonts w:hint="eastAsia" w:ascii="Times New Roman" w:hAnsi="Times New Roman" w:cs="Times New Roman"/>
          <w:b/>
          <w:bCs/>
          <w:color w:val="000000" w:themeColor="text1"/>
          <w:spacing w:val="-6"/>
          <w:sz w:val="24"/>
          <w:szCs w:val="24"/>
          <w14:textFill>
            <w14:solidFill>
              <w14:schemeClr w14:val="tx1"/>
            </w14:solidFill>
          </w14:textFill>
        </w:rPr>
        <w:t>普通高等学校师范类专业认证持续改进证据清单</w:t>
      </w:r>
    </w:p>
    <w:tbl>
      <w:tblPr>
        <w:tblStyle w:val="8"/>
        <w:tblW w:w="1392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63"/>
        <w:gridCol w:w="3544"/>
        <w:gridCol w:w="2268"/>
        <w:gridCol w:w="2126"/>
        <w:gridCol w:w="3827"/>
      </w:tblGrid>
      <w:tr>
        <w:trPr>
          <w:trHeight w:val="624" w:hRule="atLeast"/>
        </w:trPr>
        <w:tc>
          <w:tcPr>
            <w:tcW w:w="993"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对标</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改进项</w:t>
            </w:r>
          </w:p>
        </w:tc>
        <w:tc>
          <w:tcPr>
            <w:tcW w:w="3544"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举证要求</w:t>
            </w:r>
          </w:p>
        </w:tc>
        <w:tc>
          <w:tcPr>
            <w:tcW w:w="2268"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认证报告</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所列问题</w:t>
            </w:r>
          </w:p>
        </w:tc>
        <w:tc>
          <w:tcPr>
            <w:tcW w:w="2126"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改进措施和落实效果的简要说明</w:t>
            </w:r>
          </w:p>
        </w:tc>
        <w:tc>
          <w:tcPr>
            <w:tcW w:w="3827"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支撑证据</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（含改进措施证据和落实效果证据）</w:t>
            </w:r>
          </w:p>
        </w:tc>
      </w:tr>
      <w:tr>
        <w:trPr>
          <w:trHeight w:val="1063" w:hRule="atLeast"/>
        </w:trPr>
        <w:tc>
          <w:tcPr>
            <w:tcW w:w="993" w:type="dxa"/>
            <w:vMerge w:val="restart"/>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产出主线改进证据</w:t>
            </w: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培养</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目标</w:t>
            </w:r>
          </w:p>
        </w:tc>
        <w:tc>
          <w:tcPr>
            <w:tcW w:w="3544" w:type="dxa"/>
            <w:shd w:val="clear" w:color="auto" w:fill="auto"/>
            <w:vAlign w:val="center"/>
          </w:tcPr>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建有完善培养目标的工作机制。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年之内，至少开展一次培养目标的修订工作，有面向工作岗位的需求调研。</w:t>
            </w:r>
          </w:p>
          <w:p>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用字体加粗的方式标识培养目标修订的内容。</w:t>
            </w:r>
          </w:p>
          <w:p>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有一定数量的利益相关者参与培养目标合理性评价和目标修订，有相关的过程记录。</w:t>
            </w:r>
          </w:p>
        </w:tc>
        <w:tc>
          <w:tcPr>
            <w:tcW w:w="2268" w:type="dxa"/>
            <w:shd w:val="clear" w:color="auto" w:fill="auto"/>
          </w:tcPr>
          <w:p>
            <w:pPr>
              <w:widowControl/>
              <w:jc w:val="left"/>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1</w:t>
            </w:r>
            <w:r>
              <w:rPr>
                <w:rFonts w:ascii="Times New Roman" w:hAnsi="Times New Roman" w:cs="宋体"/>
                <w:color w:val="000000" w:themeColor="text1"/>
                <w:kern w:val="0"/>
                <w:sz w:val="24"/>
                <w:szCs w:val="24"/>
                <w14:textFill>
                  <w14:solidFill>
                    <w14:schemeClr w14:val="tx1"/>
                  </w14:solidFill>
                </w14:textFill>
              </w:rPr>
              <w:t>.</w:t>
            </w:r>
          </w:p>
          <w:p>
            <w:pPr>
              <w:widowControl/>
              <w:jc w:val="left"/>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2</w:t>
            </w:r>
            <w:r>
              <w:rPr>
                <w:rFonts w:ascii="Times New Roman" w:hAnsi="Times New Roman" w:cs="宋体"/>
                <w:color w:val="000000" w:themeColor="text1"/>
                <w:kern w:val="0"/>
                <w:sz w:val="24"/>
                <w:szCs w:val="24"/>
                <w14:textFill>
                  <w14:solidFill>
                    <w14:schemeClr w14:val="tx1"/>
                  </w14:solidFill>
                </w14:textFill>
              </w:rPr>
              <w:t>.</w:t>
            </w:r>
          </w:p>
          <w:p>
            <w:pPr>
              <w:widowControl/>
              <w:jc w:val="left"/>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p>
            <w:pPr>
              <w:rPr>
                <w:rFonts w:ascii="Times New Roman" w:hAnsi="Times New Roman" w:cs="宋体"/>
                <w:color w:val="000000" w:themeColor="text1"/>
                <w:sz w:val="24"/>
                <w:szCs w:val="24"/>
                <w14:textFill>
                  <w14:solidFill>
                    <w14:schemeClr w14:val="tx1"/>
                  </w14:solidFill>
                </w14:textFill>
              </w:rPr>
            </w:pPr>
          </w:p>
        </w:tc>
        <w:tc>
          <w:tcPr>
            <w:tcW w:w="2126" w:type="dxa"/>
            <w:shd w:val="clear" w:color="auto" w:fill="auto"/>
          </w:tcPr>
          <w:p>
            <w:pPr>
              <w:widowControl/>
              <w:jc w:val="left"/>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1</w:t>
            </w:r>
            <w:r>
              <w:rPr>
                <w:rFonts w:ascii="Times New Roman" w:hAnsi="Times New Roman" w:cs="宋体"/>
                <w:color w:val="000000" w:themeColor="text1"/>
                <w:kern w:val="0"/>
                <w:sz w:val="24"/>
                <w:szCs w:val="24"/>
                <w14:textFill>
                  <w14:solidFill>
                    <w14:schemeClr w14:val="tx1"/>
                  </w14:solidFill>
                </w14:textFill>
              </w:rPr>
              <w:t>.</w:t>
            </w:r>
          </w:p>
          <w:p>
            <w:pPr>
              <w:widowControl/>
              <w:jc w:val="left"/>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2</w:t>
            </w:r>
            <w:r>
              <w:rPr>
                <w:rFonts w:ascii="Times New Roman" w:hAnsi="Times New Roman" w:cs="宋体"/>
                <w:color w:val="000000" w:themeColor="text1"/>
                <w:kern w:val="0"/>
                <w:sz w:val="24"/>
                <w:szCs w:val="24"/>
                <w14:textFill>
                  <w14:solidFill>
                    <w14:schemeClr w14:val="tx1"/>
                  </w14:solidFill>
                </w14:textFill>
              </w:rPr>
              <w:t>.</w:t>
            </w:r>
          </w:p>
          <w:p>
            <w:pPr>
              <w:widowControl/>
              <w:jc w:val="left"/>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p>
            <w:pPr>
              <w:rPr>
                <w:rFonts w:ascii="Times New Roman" w:hAnsi="Times New Roman" w:cs="宋体"/>
                <w:color w:val="000000" w:themeColor="text1"/>
                <w:sz w:val="24"/>
                <w:szCs w:val="24"/>
                <w14:textFill>
                  <w14:solidFill>
                    <w14:schemeClr w14:val="tx1"/>
                  </w14:solidFill>
                </w14:textFill>
              </w:rPr>
            </w:pPr>
          </w:p>
        </w:tc>
        <w:tc>
          <w:tcPr>
            <w:tcW w:w="3827" w:type="dxa"/>
            <w:shd w:val="clear" w:color="auto" w:fill="auto"/>
          </w:tcPr>
          <w:p>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证据名称，建议做超链接</w:t>
            </w:r>
          </w:p>
          <w:p>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t>.2</w:t>
            </w:r>
          </w:p>
          <w:p>
            <w:pPr>
              <w:widowControl/>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目录可细分，建议不超过三级)</w:t>
            </w:r>
          </w:p>
          <w:p>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.1</w:t>
            </w:r>
          </w:p>
          <w:p>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.2</w:t>
            </w:r>
          </w:p>
          <w:p>
            <w:pPr>
              <w:widowControl/>
              <w:jc w:val="left"/>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r>
      <w:tr>
        <w:trPr>
          <w:trHeight w:val="898" w:hRule="atLeast"/>
        </w:trPr>
        <w:tc>
          <w:tcPr>
            <w:tcW w:w="993" w:type="dxa"/>
            <w:vMerge w:val="continue"/>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毕业</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要求</w:t>
            </w:r>
          </w:p>
        </w:tc>
        <w:tc>
          <w:tcPr>
            <w:tcW w:w="3544" w:type="dxa"/>
            <w:shd w:val="clear" w:color="auto" w:fill="auto"/>
            <w:vAlign w:val="center"/>
          </w:tcPr>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建有完善毕业要求的工作机制。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年之内，至少开展一次毕业要求的修订工作。</w:t>
            </w:r>
          </w:p>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2</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用字体加粗的方式标识毕业要求修订的内容。</w:t>
            </w:r>
          </w:p>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3</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有毕业要求修订的过程记录。</w:t>
            </w:r>
          </w:p>
        </w:tc>
        <w:tc>
          <w:tcPr>
            <w:tcW w:w="2268"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trPr>
          <w:trHeight w:val="841" w:hRule="atLeast"/>
        </w:trPr>
        <w:tc>
          <w:tcPr>
            <w:tcW w:w="993" w:type="dxa"/>
            <w:vMerge w:val="continue"/>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体系</w:t>
            </w:r>
          </w:p>
        </w:tc>
        <w:tc>
          <w:tcPr>
            <w:tcW w:w="3544" w:type="dxa"/>
            <w:shd w:val="clear" w:color="auto" w:fill="auto"/>
            <w:vAlign w:val="center"/>
          </w:tcPr>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建有完善课程体系的工作机制。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年之内，至少开展一次课程体系的修订工作。</w:t>
            </w:r>
          </w:p>
          <w:p>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注明课程体系的优化情况。</w:t>
            </w:r>
          </w:p>
          <w:p>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有一定数量的利益相关者参与课程体系合理化评价，有相关的过程记录。</w:t>
            </w:r>
          </w:p>
        </w:tc>
        <w:tc>
          <w:tcPr>
            <w:tcW w:w="2268"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trPr>
          <w:trHeight w:val="838" w:hRule="atLeast"/>
        </w:trPr>
        <w:tc>
          <w:tcPr>
            <w:tcW w:w="993" w:type="dxa"/>
            <w:vMerge w:val="continue"/>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课程教学</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大纲</w:t>
            </w:r>
          </w:p>
        </w:tc>
        <w:tc>
          <w:tcPr>
            <w:tcW w:w="3544" w:type="dxa"/>
            <w:shd w:val="clear" w:color="auto" w:fill="auto"/>
            <w:vAlign w:val="center"/>
          </w:tcPr>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建有完善课程教学大纲的工作机制。</w:t>
            </w:r>
          </w:p>
          <w:p>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标注近三年课程教学大纲修订的情况（修订的主要内容、缘由、时间、修订人等）。</w:t>
            </w:r>
          </w:p>
        </w:tc>
        <w:tc>
          <w:tcPr>
            <w:tcW w:w="2268"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trPr>
          <w:trHeight w:val="924" w:hRule="atLeast"/>
        </w:trPr>
        <w:tc>
          <w:tcPr>
            <w:tcW w:w="993" w:type="dxa"/>
            <w:vMerge w:val="restart"/>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评价底线改进证据</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（包含但不限于认证报告指出的问题）</w:t>
            </w: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评价机制与制度文件</w:t>
            </w:r>
          </w:p>
        </w:tc>
        <w:tc>
          <w:tcPr>
            <w:tcW w:w="3544" w:type="dxa"/>
            <w:shd w:val="clear" w:color="auto" w:fill="auto"/>
            <w:vAlign w:val="center"/>
          </w:tcPr>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标注近三年制度更新情况。</w:t>
            </w:r>
          </w:p>
          <w:p>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有制度执行的过程记录。</w:t>
            </w:r>
          </w:p>
        </w:tc>
        <w:tc>
          <w:tcPr>
            <w:tcW w:w="2268"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trPr>
          <w:trHeight w:val="992" w:hRule="atLeast"/>
        </w:trPr>
        <w:tc>
          <w:tcPr>
            <w:tcW w:w="993" w:type="dxa"/>
            <w:vMerge w:val="continue"/>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课程目标达成情况评价</w:t>
            </w:r>
          </w:p>
        </w:tc>
        <w:tc>
          <w:tcPr>
            <w:tcW w:w="3544" w:type="dxa"/>
            <w:shd w:val="clear" w:color="auto" w:fill="auto"/>
            <w:vAlign w:val="center"/>
          </w:tcPr>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所有必修课程均开展课程目标达成情况分析。</w:t>
            </w:r>
          </w:p>
          <w:p>
            <w:pPr>
              <w:widowControl/>
              <w:jc w:val="left"/>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达成情况评价报告深入分析存在的问题，问题要求真求实，有具体改进的举措和目标任务。</w:t>
            </w:r>
          </w:p>
        </w:tc>
        <w:tc>
          <w:tcPr>
            <w:tcW w:w="2268"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trPr>
          <w:trHeight w:val="908" w:hRule="atLeast"/>
        </w:trPr>
        <w:tc>
          <w:tcPr>
            <w:tcW w:w="993" w:type="dxa"/>
            <w:vMerge w:val="continue"/>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毕业要求达成情况评价</w:t>
            </w:r>
          </w:p>
        </w:tc>
        <w:tc>
          <w:tcPr>
            <w:tcW w:w="3544" w:type="dxa"/>
            <w:shd w:val="clear" w:color="auto" w:fill="auto"/>
            <w:vAlign w:val="center"/>
          </w:tcPr>
          <w:p>
            <w:pPr>
              <w:widowControl/>
              <w:jc w:val="left"/>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按照相关制度规定开展毕业要求达成分析。</w:t>
            </w:r>
          </w:p>
          <w:p>
            <w:pPr>
              <w:widowControl/>
              <w:jc w:val="left"/>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2</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至少有一届毕业生完全按照认证标准修订的人才培养方案开展的毕业要求达成情况分析。</w:t>
            </w:r>
          </w:p>
          <w:p>
            <w:pPr>
              <w:widowControl/>
              <w:jc w:val="left"/>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聚焦师范生能力达成，除了课程评价数据之外，有多方面的证据证明师范毕业生达到毕业要求规定的能力标准。</w:t>
            </w:r>
          </w:p>
        </w:tc>
        <w:tc>
          <w:tcPr>
            <w:tcW w:w="2268"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trPr>
          <w:trHeight w:val="1403" w:hRule="atLeast"/>
        </w:trPr>
        <w:tc>
          <w:tcPr>
            <w:tcW w:w="99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其它主要问题改进证据</w:t>
            </w:r>
          </w:p>
        </w:tc>
        <w:tc>
          <w:tcPr>
            <w:tcW w:w="1163"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3544"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68"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bookmarkEnd w:id="0"/>
    </w:tbl>
    <w:p>
      <w:pPr>
        <w:widowControl/>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sectPr>
          <w:pgSz w:w="16838" w:h="11906" w:orient="landscape"/>
          <w:pgMar w:top="1797" w:right="1440" w:bottom="1797" w:left="1440" w:header="851" w:footer="992" w:gutter="0"/>
          <w:cols w:space="425" w:num="1"/>
          <w:docGrid w:type="linesAndChars" w:linePitch="312" w:charSpace="0"/>
        </w:sectPr>
      </w:pPr>
      <w:bookmarkStart w:id="1" w:name="_GoBack"/>
      <w:bookmarkEnd w:id="1"/>
    </w:p>
    <w:p>
      <w:pPr>
        <w:adjustRightInd w:val="0"/>
        <w:snapToGrid w:val="0"/>
        <w:jc w:val="both"/>
        <w:rPr>
          <w:rFonts w:ascii="Times New Roman" w:hAnsi="Times New Roman" w:eastAsia="仿宋_GB2312" w:cs="Times New Roman"/>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TFangsong">
    <w:panose1 w:val="02010600040101010101"/>
    <w:charset w:val="86"/>
    <w:family w:val="auto"/>
    <w:pitch w:val="default"/>
    <w:sig w:usb0="00000287" w:usb1="080F0000" w:usb2="00000000" w:usb3="00000000" w:csb0="0004009F" w:csb1="DFD70000"/>
  </w:font>
  <w:font w:name="方正小标宋简体">
    <w:altName w:val="汉仪书宋二KW"/>
    <w:panose1 w:val="02010601030101010101"/>
    <w:charset w:val="86"/>
    <w:family w:val="auto"/>
    <w:pitch w:val="default"/>
    <w:sig w:usb0="00000000" w:usb1="00000000" w:usb2="00000010" w:usb3="00000000" w:csb0="00040000" w:csb1="00000000"/>
  </w:font>
  <w:font w:name="鏂规灏忔爣瀹嬬畝浣?">
    <w:altName w:val="苹方-简"/>
    <w:panose1 w:val="00000000000000000000"/>
    <w:charset w:val="86"/>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浠垮畫_GB2312">
    <w:altName w:val="苹方-简"/>
    <w:panose1 w:val="00000000000000000000"/>
    <w:charset w:val="86"/>
    <w:family w:val="auto"/>
    <w:pitch w:val="default"/>
    <w:sig w:usb0="00000000" w:usb1="00000000" w:usb2="00000010" w:usb3="00000000" w:csb0="00040000" w:csb1="00000000"/>
  </w:font>
  <w:font w:name="榛戜綋">
    <w:altName w:val="苹方-简"/>
    <w:panose1 w:val="00000000000000000000"/>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9459794"/>
    </w:sdtPr>
    <w:sdtContent>
      <w:p>
        <w:pPr>
          <w:pStyle w:val="5"/>
          <w:jc w:val="center"/>
        </w:pPr>
        <w:r>
          <w:fldChar w:fldCharType="begin"/>
        </w:r>
        <w:r>
          <w:instrText xml:space="preserve">PAGE   \* MERGEFORMAT</w:instrText>
        </w:r>
        <w:r>
          <w:fldChar w:fldCharType="separate"/>
        </w:r>
        <w:r>
          <w:rPr>
            <w:lang w:val="zh-CN"/>
          </w:rPr>
          <w:t>20</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94173"/>
    <w:multiLevelType w:val="multilevel"/>
    <w:tmpl w:val="32A941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zZGFkNTIzNWE3Mzk5YTcxNDA1YTE1ZWRlOGYwNmUifQ=="/>
  </w:docVars>
  <w:rsids>
    <w:rsidRoot w:val="004C4997"/>
    <w:rsid w:val="00001CAA"/>
    <w:rsid w:val="000074EE"/>
    <w:rsid w:val="0001132E"/>
    <w:rsid w:val="00023B49"/>
    <w:rsid w:val="00036AC3"/>
    <w:rsid w:val="000439BD"/>
    <w:rsid w:val="00047270"/>
    <w:rsid w:val="0005242B"/>
    <w:rsid w:val="00053395"/>
    <w:rsid w:val="00056103"/>
    <w:rsid w:val="00057D70"/>
    <w:rsid w:val="00060B88"/>
    <w:rsid w:val="00063A44"/>
    <w:rsid w:val="00091772"/>
    <w:rsid w:val="00092931"/>
    <w:rsid w:val="00094F8F"/>
    <w:rsid w:val="00097B69"/>
    <w:rsid w:val="000D2FD5"/>
    <w:rsid w:val="000E25CE"/>
    <w:rsid w:val="000F2399"/>
    <w:rsid w:val="001047EA"/>
    <w:rsid w:val="00106662"/>
    <w:rsid w:val="0011289D"/>
    <w:rsid w:val="00115806"/>
    <w:rsid w:val="00132A91"/>
    <w:rsid w:val="001330F9"/>
    <w:rsid w:val="00141D44"/>
    <w:rsid w:val="0014551F"/>
    <w:rsid w:val="001513F7"/>
    <w:rsid w:val="00153692"/>
    <w:rsid w:val="001570B1"/>
    <w:rsid w:val="001575BE"/>
    <w:rsid w:val="001615FD"/>
    <w:rsid w:val="00161AD0"/>
    <w:rsid w:val="00165C03"/>
    <w:rsid w:val="0016760B"/>
    <w:rsid w:val="0016767F"/>
    <w:rsid w:val="0018233C"/>
    <w:rsid w:val="001902CE"/>
    <w:rsid w:val="00196444"/>
    <w:rsid w:val="001964E3"/>
    <w:rsid w:val="001A0357"/>
    <w:rsid w:val="001E3F12"/>
    <w:rsid w:val="001E5EC9"/>
    <w:rsid w:val="001F7227"/>
    <w:rsid w:val="00201737"/>
    <w:rsid w:val="0020210F"/>
    <w:rsid w:val="00202EC7"/>
    <w:rsid w:val="002040E4"/>
    <w:rsid w:val="0020640F"/>
    <w:rsid w:val="0021129C"/>
    <w:rsid w:val="002123CC"/>
    <w:rsid w:val="00216208"/>
    <w:rsid w:val="00221965"/>
    <w:rsid w:val="00221D34"/>
    <w:rsid w:val="00222E73"/>
    <w:rsid w:val="0022635C"/>
    <w:rsid w:val="00226A64"/>
    <w:rsid w:val="00232C06"/>
    <w:rsid w:val="002343A9"/>
    <w:rsid w:val="002435CD"/>
    <w:rsid w:val="002465C8"/>
    <w:rsid w:val="00251137"/>
    <w:rsid w:val="00252CE1"/>
    <w:rsid w:val="00256C33"/>
    <w:rsid w:val="00261348"/>
    <w:rsid w:val="00263904"/>
    <w:rsid w:val="0026463C"/>
    <w:rsid w:val="00270A4F"/>
    <w:rsid w:val="00275E0D"/>
    <w:rsid w:val="00280B5D"/>
    <w:rsid w:val="0028792F"/>
    <w:rsid w:val="0029325C"/>
    <w:rsid w:val="00297356"/>
    <w:rsid w:val="002C105B"/>
    <w:rsid w:val="002C2606"/>
    <w:rsid w:val="002C2816"/>
    <w:rsid w:val="002C59DC"/>
    <w:rsid w:val="002D4F0F"/>
    <w:rsid w:val="002E00ED"/>
    <w:rsid w:val="002E2B37"/>
    <w:rsid w:val="002E429A"/>
    <w:rsid w:val="002F1F9E"/>
    <w:rsid w:val="002F484C"/>
    <w:rsid w:val="00306CC6"/>
    <w:rsid w:val="003230FA"/>
    <w:rsid w:val="003268DE"/>
    <w:rsid w:val="00351C5B"/>
    <w:rsid w:val="003651B6"/>
    <w:rsid w:val="00365D2C"/>
    <w:rsid w:val="00371318"/>
    <w:rsid w:val="003A1715"/>
    <w:rsid w:val="003B4C0C"/>
    <w:rsid w:val="003B577F"/>
    <w:rsid w:val="003B69D8"/>
    <w:rsid w:val="003B6DC8"/>
    <w:rsid w:val="003C40C8"/>
    <w:rsid w:val="003D2AA2"/>
    <w:rsid w:val="003E22D2"/>
    <w:rsid w:val="003E4AAD"/>
    <w:rsid w:val="00401BCE"/>
    <w:rsid w:val="00403E78"/>
    <w:rsid w:val="0041129B"/>
    <w:rsid w:val="00411A84"/>
    <w:rsid w:val="00413CA7"/>
    <w:rsid w:val="004153E8"/>
    <w:rsid w:val="00425443"/>
    <w:rsid w:val="004309CC"/>
    <w:rsid w:val="00431C59"/>
    <w:rsid w:val="004507ED"/>
    <w:rsid w:val="004618CB"/>
    <w:rsid w:val="00466516"/>
    <w:rsid w:val="00470C24"/>
    <w:rsid w:val="00481A7B"/>
    <w:rsid w:val="004866DE"/>
    <w:rsid w:val="004A4A9C"/>
    <w:rsid w:val="004A7732"/>
    <w:rsid w:val="004B55FC"/>
    <w:rsid w:val="004B5BFB"/>
    <w:rsid w:val="004B5EE0"/>
    <w:rsid w:val="004B7560"/>
    <w:rsid w:val="004C4997"/>
    <w:rsid w:val="004C4F34"/>
    <w:rsid w:val="004C6EEC"/>
    <w:rsid w:val="004E4B22"/>
    <w:rsid w:val="005014B1"/>
    <w:rsid w:val="00513379"/>
    <w:rsid w:val="00513912"/>
    <w:rsid w:val="00521122"/>
    <w:rsid w:val="0053019D"/>
    <w:rsid w:val="00532EEE"/>
    <w:rsid w:val="00541DB9"/>
    <w:rsid w:val="0054378D"/>
    <w:rsid w:val="00545D25"/>
    <w:rsid w:val="00551D20"/>
    <w:rsid w:val="005527E6"/>
    <w:rsid w:val="00557895"/>
    <w:rsid w:val="00561594"/>
    <w:rsid w:val="005651FC"/>
    <w:rsid w:val="00565877"/>
    <w:rsid w:val="00572108"/>
    <w:rsid w:val="00573D66"/>
    <w:rsid w:val="0057579B"/>
    <w:rsid w:val="00576969"/>
    <w:rsid w:val="0058462C"/>
    <w:rsid w:val="00587632"/>
    <w:rsid w:val="005906EF"/>
    <w:rsid w:val="0059310B"/>
    <w:rsid w:val="00594B55"/>
    <w:rsid w:val="005A14EB"/>
    <w:rsid w:val="005A3F6F"/>
    <w:rsid w:val="005A68CA"/>
    <w:rsid w:val="005B5ABF"/>
    <w:rsid w:val="005D37FE"/>
    <w:rsid w:val="005D6AEC"/>
    <w:rsid w:val="005D6F50"/>
    <w:rsid w:val="005E3370"/>
    <w:rsid w:val="005E49E0"/>
    <w:rsid w:val="005F566E"/>
    <w:rsid w:val="00601BB6"/>
    <w:rsid w:val="006030BF"/>
    <w:rsid w:val="00611176"/>
    <w:rsid w:val="00611245"/>
    <w:rsid w:val="00626BBE"/>
    <w:rsid w:val="00660E76"/>
    <w:rsid w:val="00663D48"/>
    <w:rsid w:val="006805B6"/>
    <w:rsid w:val="0068592C"/>
    <w:rsid w:val="006866F4"/>
    <w:rsid w:val="006904B7"/>
    <w:rsid w:val="006958A1"/>
    <w:rsid w:val="00695C6C"/>
    <w:rsid w:val="006A051A"/>
    <w:rsid w:val="006A22D7"/>
    <w:rsid w:val="006A76E7"/>
    <w:rsid w:val="006B4340"/>
    <w:rsid w:val="006B4BCD"/>
    <w:rsid w:val="006C5583"/>
    <w:rsid w:val="006C5B5E"/>
    <w:rsid w:val="006D3CAA"/>
    <w:rsid w:val="006D6B08"/>
    <w:rsid w:val="006E058A"/>
    <w:rsid w:val="006F25FF"/>
    <w:rsid w:val="006F572B"/>
    <w:rsid w:val="006F59A4"/>
    <w:rsid w:val="006F66A3"/>
    <w:rsid w:val="00702C01"/>
    <w:rsid w:val="00703F77"/>
    <w:rsid w:val="00707749"/>
    <w:rsid w:val="00721458"/>
    <w:rsid w:val="007241BA"/>
    <w:rsid w:val="00727E80"/>
    <w:rsid w:val="00730B45"/>
    <w:rsid w:val="00731900"/>
    <w:rsid w:val="00734D62"/>
    <w:rsid w:val="007400A5"/>
    <w:rsid w:val="007505F5"/>
    <w:rsid w:val="00756145"/>
    <w:rsid w:val="00761A0B"/>
    <w:rsid w:val="00766327"/>
    <w:rsid w:val="00772CF3"/>
    <w:rsid w:val="00773288"/>
    <w:rsid w:val="0077451D"/>
    <w:rsid w:val="007748A0"/>
    <w:rsid w:val="00777043"/>
    <w:rsid w:val="0078680F"/>
    <w:rsid w:val="00787D81"/>
    <w:rsid w:val="00790983"/>
    <w:rsid w:val="00791DD4"/>
    <w:rsid w:val="007954D5"/>
    <w:rsid w:val="007A4A50"/>
    <w:rsid w:val="007B0C2B"/>
    <w:rsid w:val="007B356E"/>
    <w:rsid w:val="007C36AC"/>
    <w:rsid w:val="007C3A50"/>
    <w:rsid w:val="007D625E"/>
    <w:rsid w:val="007F68A1"/>
    <w:rsid w:val="00805F7B"/>
    <w:rsid w:val="00806DD1"/>
    <w:rsid w:val="008219F7"/>
    <w:rsid w:val="00821B1A"/>
    <w:rsid w:val="008229F6"/>
    <w:rsid w:val="00824456"/>
    <w:rsid w:val="0083388A"/>
    <w:rsid w:val="00833BB7"/>
    <w:rsid w:val="00836681"/>
    <w:rsid w:val="00844F14"/>
    <w:rsid w:val="008453B2"/>
    <w:rsid w:val="00852456"/>
    <w:rsid w:val="008577FC"/>
    <w:rsid w:val="008637EE"/>
    <w:rsid w:val="00866209"/>
    <w:rsid w:val="00871531"/>
    <w:rsid w:val="008734BC"/>
    <w:rsid w:val="00873E67"/>
    <w:rsid w:val="00884E66"/>
    <w:rsid w:val="008B5477"/>
    <w:rsid w:val="008B7078"/>
    <w:rsid w:val="008B740C"/>
    <w:rsid w:val="008C2AC2"/>
    <w:rsid w:val="008D111A"/>
    <w:rsid w:val="008E102D"/>
    <w:rsid w:val="008E42CC"/>
    <w:rsid w:val="008E5F33"/>
    <w:rsid w:val="008F092F"/>
    <w:rsid w:val="008F2A79"/>
    <w:rsid w:val="008F5EB3"/>
    <w:rsid w:val="00901B73"/>
    <w:rsid w:val="00902E6E"/>
    <w:rsid w:val="00904202"/>
    <w:rsid w:val="0090521C"/>
    <w:rsid w:val="00921B19"/>
    <w:rsid w:val="00925012"/>
    <w:rsid w:val="00932E68"/>
    <w:rsid w:val="00934D84"/>
    <w:rsid w:val="00936211"/>
    <w:rsid w:val="00957780"/>
    <w:rsid w:val="0096354D"/>
    <w:rsid w:val="00963736"/>
    <w:rsid w:val="00965457"/>
    <w:rsid w:val="00965B33"/>
    <w:rsid w:val="00966A6D"/>
    <w:rsid w:val="0096749C"/>
    <w:rsid w:val="009A1238"/>
    <w:rsid w:val="009A2993"/>
    <w:rsid w:val="009B4376"/>
    <w:rsid w:val="009B4CA1"/>
    <w:rsid w:val="009C56E6"/>
    <w:rsid w:val="009E3336"/>
    <w:rsid w:val="009E4C54"/>
    <w:rsid w:val="009F77AA"/>
    <w:rsid w:val="00A017C3"/>
    <w:rsid w:val="00A121EF"/>
    <w:rsid w:val="00A123B0"/>
    <w:rsid w:val="00A1436B"/>
    <w:rsid w:val="00A153FF"/>
    <w:rsid w:val="00A201DB"/>
    <w:rsid w:val="00A20B1C"/>
    <w:rsid w:val="00A24AE0"/>
    <w:rsid w:val="00A24EEF"/>
    <w:rsid w:val="00A33781"/>
    <w:rsid w:val="00A45DB7"/>
    <w:rsid w:val="00A616E0"/>
    <w:rsid w:val="00A96174"/>
    <w:rsid w:val="00A9738F"/>
    <w:rsid w:val="00AB6098"/>
    <w:rsid w:val="00AC30DD"/>
    <w:rsid w:val="00AD31F6"/>
    <w:rsid w:val="00AD46CA"/>
    <w:rsid w:val="00AD5A8B"/>
    <w:rsid w:val="00AF787B"/>
    <w:rsid w:val="00B25A69"/>
    <w:rsid w:val="00B26A68"/>
    <w:rsid w:val="00B33896"/>
    <w:rsid w:val="00B34D8D"/>
    <w:rsid w:val="00B36EC6"/>
    <w:rsid w:val="00B472FC"/>
    <w:rsid w:val="00B51690"/>
    <w:rsid w:val="00B558A3"/>
    <w:rsid w:val="00B66345"/>
    <w:rsid w:val="00B71654"/>
    <w:rsid w:val="00B72B94"/>
    <w:rsid w:val="00B77978"/>
    <w:rsid w:val="00B80895"/>
    <w:rsid w:val="00B83034"/>
    <w:rsid w:val="00B9277D"/>
    <w:rsid w:val="00B9527D"/>
    <w:rsid w:val="00BB0E22"/>
    <w:rsid w:val="00BB3C19"/>
    <w:rsid w:val="00BC1125"/>
    <w:rsid w:val="00BD317B"/>
    <w:rsid w:val="00BD40B2"/>
    <w:rsid w:val="00BE2099"/>
    <w:rsid w:val="00BE3229"/>
    <w:rsid w:val="00C127E6"/>
    <w:rsid w:val="00C12932"/>
    <w:rsid w:val="00C13695"/>
    <w:rsid w:val="00C2580B"/>
    <w:rsid w:val="00C40B04"/>
    <w:rsid w:val="00C41943"/>
    <w:rsid w:val="00C44DA8"/>
    <w:rsid w:val="00C51F01"/>
    <w:rsid w:val="00C6373C"/>
    <w:rsid w:val="00C709A2"/>
    <w:rsid w:val="00C81D0E"/>
    <w:rsid w:val="00C8343C"/>
    <w:rsid w:val="00C90B0C"/>
    <w:rsid w:val="00C94CAF"/>
    <w:rsid w:val="00CA0823"/>
    <w:rsid w:val="00CA3330"/>
    <w:rsid w:val="00CB03AD"/>
    <w:rsid w:val="00CB3633"/>
    <w:rsid w:val="00CB5B8E"/>
    <w:rsid w:val="00CC198D"/>
    <w:rsid w:val="00CE18A6"/>
    <w:rsid w:val="00CE6AE2"/>
    <w:rsid w:val="00CE7418"/>
    <w:rsid w:val="00CF3C9E"/>
    <w:rsid w:val="00D068E1"/>
    <w:rsid w:val="00D24658"/>
    <w:rsid w:val="00D3498E"/>
    <w:rsid w:val="00D4024E"/>
    <w:rsid w:val="00D4201B"/>
    <w:rsid w:val="00D71F84"/>
    <w:rsid w:val="00D80F06"/>
    <w:rsid w:val="00D81BF1"/>
    <w:rsid w:val="00D8406A"/>
    <w:rsid w:val="00D872DB"/>
    <w:rsid w:val="00D9112F"/>
    <w:rsid w:val="00D97727"/>
    <w:rsid w:val="00DA0A59"/>
    <w:rsid w:val="00DA10A0"/>
    <w:rsid w:val="00DA19ED"/>
    <w:rsid w:val="00DB0591"/>
    <w:rsid w:val="00DB14C6"/>
    <w:rsid w:val="00DB2F49"/>
    <w:rsid w:val="00DC58DB"/>
    <w:rsid w:val="00DD6441"/>
    <w:rsid w:val="00DE1AE1"/>
    <w:rsid w:val="00E00FA3"/>
    <w:rsid w:val="00E02FE7"/>
    <w:rsid w:val="00E14B17"/>
    <w:rsid w:val="00E152B2"/>
    <w:rsid w:val="00E23A0F"/>
    <w:rsid w:val="00E46999"/>
    <w:rsid w:val="00E52773"/>
    <w:rsid w:val="00E62148"/>
    <w:rsid w:val="00E76550"/>
    <w:rsid w:val="00E8383C"/>
    <w:rsid w:val="00E87C0F"/>
    <w:rsid w:val="00E92974"/>
    <w:rsid w:val="00EA4455"/>
    <w:rsid w:val="00EA685F"/>
    <w:rsid w:val="00EA73AC"/>
    <w:rsid w:val="00EC69A5"/>
    <w:rsid w:val="00ED1959"/>
    <w:rsid w:val="00ED1A48"/>
    <w:rsid w:val="00ED7D06"/>
    <w:rsid w:val="00EE2DD3"/>
    <w:rsid w:val="00EF6797"/>
    <w:rsid w:val="00F13A85"/>
    <w:rsid w:val="00F26AD4"/>
    <w:rsid w:val="00F32ABD"/>
    <w:rsid w:val="00F336F6"/>
    <w:rsid w:val="00F36248"/>
    <w:rsid w:val="00F577B7"/>
    <w:rsid w:val="00F63E09"/>
    <w:rsid w:val="00F66F81"/>
    <w:rsid w:val="00F850A1"/>
    <w:rsid w:val="00F914FB"/>
    <w:rsid w:val="00F91E02"/>
    <w:rsid w:val="00FA318F"/>
    <w:rsid w:val="00FA6601"/>
    <w:rsid w:val="00FB083B"/>
    <w:rsid w:val="00FB3B90"/>
    <w:rsid w:val="00FB7691"/>
    <w:rsid w:val="00FC0676"/>
    <w:rsid w:val="00FC628C"/>
    <w:rsid w:val="00FD3424"/>
    <w:rsid w:val="00FD4292"/>
    <w:rsid w:val="00FD76DB"/>
    <w:rsid w:val="00FE1B55"/>
    <w:rsid w:val="00FE63FA"/>
    <w:rsid w:val="00FE7EB3"/>
    <w:rsid w:val="00FF6394"/>
    <w:rsid w:val="0F9342E7"/>
    <w:rsid w:val="14337635"/>
    <w:rsid w:val="16E22147"/>
    <w:rsid w:val="1D022278"/>
    <w:rsid w:val="2186586B"/>
    <w:rsid w:val="2A756DB7"/>
    <w:rsid w:val="3304039B"/>
    <w:rsid w:val="37036AD2"/>
    <w:rsid w:val="3A211701"/>
    <w:rsid w:val="3C656E59"/>
    <w:rsid w:val="44CB28F9"/>
    <w:rsid w:val="45957204"/>
    <w:rsid w:val="461A6C9F"/>
    <w:rsid w:val="53063533"/>
    <w:rsid w:val="53CF4F23"/>
    <w:rsid w:val="54736423"/>
    <w:rsid w:val="5A954220"/>
    <w:rsid w:val="5CC549CC"/>
    <w:rsid w:val="5DF96DE6"/>
    <w:rsid w:val="601C15BA"/>
    <w:rsid w:val="604324DD"/>
    <w:rsid w:val="62056F36"/>
    <w:rsid w:val="62B62F9F"/>
    <w:rsid w:val="63A00C18"/>
    <w:rsid w:val="671C5C41"/>
    <w:rsid w:val="679D3F55"/>
    <w:rsid w:val="67E6109E"/>
    <w:rsid w:val="69077128"/>
    <w:rsid w:val="6B0A20DA"/>
    <w:rsid w:val="73A9793F"/>
    <w:rsid w:val="759D69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kern w:val="2"/>
      <w:sz w:val="18"/>
      <w:szCs w:val="18"/>
    </w:rPr>
  </w:style>
  <w:style w:type="character" w:customStyle="1" w:styleId="15">
    <w:name w:val="标题 1 字符"/>
    <w:basedOn w:val="10"/>
    <w:link w:val="2"/>
    <w:qFormat/>
    <w:uiPriority w:val="9"/>
    <w:rPr>
      <w:rFonts w:ascii="Calibri" w:hAnsi="Calibri" w:eastAsia="宋体" w:cs="Times New Roman"/>
      <w:b/>
      <w:bCs/>
      <w:kern w:val="44"/>
      <w:sz w:val="44"/>
      <w:szCs w:val="44"/>
    </w:rPr>
  </w:style>
  <w:style w:type="paragraph" w:styleId="16">
    <w:name w:val="List Paragraph"/>
    <w:basedOn w:val="1"/>
    <w:qFormat/>
    <w:uiPriority w:val="34"/>
    <w:pPr>
      <w:spacing w:after="160"/>
      <w:ind w:firstLine="420" w:firstLineChars="200"/>
    </w:pPr>
  </w:style>
  <w:style w:type="character" w:customStyle="1" w:styleId="17">
    <w:name w:val="批注文字 字符"/>
    <w:basedOn w:val="10"/>
    <w:link w:val="3"/>
    <w:semiHidden/>
    <w:qFormat/>
    <w:uiPriority w:val="99"/>
    <w:rPr>
      <w:kern w:val="2"/>
      <w:sz w:val="21"/>
      <w:szCs w:val="22"/>
    </w:rPr>
  </w:style>
  <w:style w:type="character" w:customStyle="1" w:styleId="18">
    <w:name w:val="批注主题 字符"/>
    <w:basedOn w:val="17"/>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PGZX</Company>
  <Pages>7</Pages>
  <Words>1109</Words>
  <Characters>6324</Characters>
  <Lines>52</Lines>
  <Paragraphs>14</Paragraphs>
  <TotalTime>13</TotalTime>
  <ScaleCrop>false</ScaleCrop>
  <LinksUpToDate>false</LinksUpToDate>
  <CharactersWithSpaces>7419</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2023-09-07T09:48:00Z</dcterms:created>
  <dc:creator>Windows 用户</dc:creator>
  <cp:lastModifiedBy>测试</cp:lastModifiedBy>
  <cp:lastPrinted>2023-07-12T16:43:00Z</cp:lastPrinted>
  <dcterms:modified xsi:type="dcterms:W3CDTF">2024-07-29T16:18:10Z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7214B2DB78C42D774250A7666738D0C9_43</vt:lpwstr>
  </property>
</Properties>
</file>